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28E63FB1"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241357">
        <w:rPr>
          <w:rFonts w:ascii="HelveticaNeueLT Std" w:hAnsi="HelveticaNeueLT Std" w:cs="Arial"/>
          <w:b/>
          <w:bCs/>
        </w:rPr>
        <w:t>octubre</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2013F3">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731765">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533AD83B" w:rsidR="00D61A79" w:rsidRPr="009E299E" w:rsidRDefault="009D48BF"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64</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137F65A9" w:rsidR="00D61A79" w:rsidRPr="009E299E" w:rsidRDefault="00241357"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06</w:t>
            </w:r>
            <w:r w:rsidR="002013F3">
              <w:rPr>
                <w:rFonts w:ascii="HelveticaNeueLT Std" w:hAnsi="HelveticaNeueLT Std" w:cs="Arial"/>
                <w:b/>
                <w:sz w:val="20"/>
                <w:szCs w:val="20"/>
              </w:rPr>
              <w:t>-</w:t>
            </w:r>
            <w:r>
              <w:rPr>
                <w:rFonts w:ascii="HelveticaNeueLT Std" w:hAnsi="HelveticaNeueLT Std" w:cs="Arial"/>
                <w:b/>
                <w:sz w:val="20"/>
                <w:szCs w:val="20"/>
              </w:rPr>
              <w:t>octubre</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1D30FC" w:rsidR="0095452B" w:rsidRPr="009E299E" w:rsidRDefault="00241357" w:rsidP="006767D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6C49C6A5" w:rsidR="00144163" w:rsidRDefault="00241357"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Secretaría de Finanzas</w:t>
            </w:r>
          </w:p>
          <w:p w14:paraId="6520934E" w14:textId="07085832" w:rsidR="00241357" w:rsidRPr="00241357" w:rsidRDefault="006821BC" w:rsidP="00EC76D3">
            <w:pPr>
              <w:spacing w:before="225" w:after="225" w:line="276" w:lineRule="auto"/>
              <w:jc w:val="both"/>
              <w:rPr>
                <w:rFonts w:ascii="HelveticaNeueLT Std" w:hAnsi="HelveticaNeueLT Std" w:cs="Arial"/>
                <w:b/>
                <w:sz w:val="20"/>
                <w:szCs w:val="20"/>
              </w:rPr>
            </w:pPr>
            <w:hyperlink r:id="rId8" w:tgtFrame="_blank" w:history="1">
              <w:r w:rsidR="00241357" w:rsidRPr="00241357">
                <w:rPr>
                  <w:rFonts w:ascii="HelveticaNeueLT Std" w:hAnsi="HelveticaNeueLT Std" w:cs="Arial"/>
                  <w:b/>
                  <w:sz w:val="20"/>
                  <w:szCs w:val="20"/>
                </w:rPr>
                <w:t>Lineamientos para el otorgamiento de becas del Instituto Hacendario del Estado de México.</w:t>
              </w:r>
            </w:hyperlink>
          </w:p>
          <w:p w14:paraId="5C82D828" w14:textId="77777777" w:rsidR="00241357" w:rsidRDefault="00241357" w:rsidP="00E26C0C">
            <w:pPr>
              <w:spacing w:before="225" w:after="225" w:line="276" w:lineRule="auto"/>
              <w:jc w:val="both"/>
            </w:pPr>
          </w:p>
          <w:p w14:paraId="3F61279C" w14:textId="77777777" w:rsidR="00241357" w:rsidRDefault="00241357" w:rsidP="00E26C0C">
            <w:pPr>
              <w:spacing w:before="225" w:after="225" w:line="276" w:lineRule="auto"/>
              <w:jc w:val="both"/>
            </w:pPr>
          </w:p>
          <w:p w14:paraId="58F5923D" w14:textId="79D1717A" w:rsidR="00E26C0C" w:rsidRDefault="00E26C0C" w:rsidP="00E26C0C">
            <w:pPr>
              <w:spacing w:before="225" w:after="225" w:line="276" w:lineRule="auto"/>
              <w:jc w:val="both"/>
              <w:rPr>
                <w:rFonts w:ascii="HelveticaNeueLT Std" w:hAnsi="HelveticaNeueLT Std" w:cs="Arial"/>
                <w:b/>
                <w:sz w:val="20"/>
                <w:szCs w:val="20"/>
              </w:rPr>
            </w:pPr>
          </w:p>
          <w:p w14:paraId="2A7B1F2D" w14:textId="2D39B437" w:rsidR="002A5CC0" w:rsidRPr="00D835A8" w:rsidRDefault="002A5CC0" w:rsidP="0024135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6584FD28" w14:textId="77777777" w:rsidR="00241357" w:rsidRPr="00BE69EA" w:rsidRDefault="00241357" w:rsidP="00241357">
            <w:pPr>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A través de los presentes Lineamientos se establece:</w:t>
            </w:r>
          </w:p>
          <w:p w14:paraId="147695B0" w14:textId="77777777" w:rsidR="006767DB" w:rsidRDefault="006767DB" w:rsidP="006767DB">
            <w:pPr>
              <w:autoSpaceDE w:val="0"/>
              <w:autoSpaceDN w:val="0"/>
              <w:adjustRightInd w:val="0"/>
              <w:spacing w:line="276" w:lineRule="auto"/>
              <w:jc w:val="both"/>
            </w:pPr>
            <w:r>
              <w:t xml:space="preserve"> </w:t>
            </w:r>
          </w:p>
          <w:p w14:paraId="11C74249" w14:textId="7898794B" w:rsidR="00E26C0C" w:rsidRDefault="00020770" w:rsidP="006B2330">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S</w:t>
            </w:r>
            <w:r w:rsidR="00BE69EA" w:rsidRPr="00BE69EA">
              <w:rPr>
                <w:rFonts w:ascii="HelveticaNeueLT Std" w:hAnsi="HelveticaNeueLT Std" w:cs="Arial"/>
                <w:bCs/>
                <w:sz w:val="20"/>
                <w:szCs w:val="20"/>
                <w:lang w:eastAsia="es-MX"/>
              </w:rPr>
              <w:t>on de observancia general para el Comité Técnico de Becas, los servidores públicos del IHAEM, así como para los alumnos y candidatos a obtener una beca; y, tienen por objeto establecer el procedimiento para el otorgamiento de becas en sus diferentes modalidades, bajo los principios de legalidad, transparencia y rendición de cuentas.</w:t>
            </w:r>
          </w:p>
          <w:p w14:paraId="5AE4F41A" w14:textId="77777777" w:rsidR="00C579AF" w:rsidRPr="00BE69EA" w:rsidRDefault="00C579AF" w:rsidP="00C579AF">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p>
          <w:p w14:paraId="4C1161E9" w14:textId="77777777" w:rsidR="00A337BE" w:rsidRDefault="00A337BE" w:rsidP="006B2330">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r w:rsidRPr="00A337BE">
              <w:rPr>
                <w:rFonts w:ascii="HelveticaNeueLT Std" w:hAnsi="HelveticaNeueLT Std" w:cs="Arial"/>
                <w:bCs/>
                <w:sz w:val="20"/>
                <w:szCs w:val="20"/>
                <w:lang w:eastAsia="es-MX"/>
              </w:rPr>
              <w:t xml:space="preserve">Las becas que otorgue el IHAEM, serán en las modalidades siguientes: a) Becas de Profesionalización; </w:t>
            </w:r>
          </w:p>
          <w:p w14:paraId="284F82E4" w14:textId="77777777" w:rsidR="00A337BE" w:rsidRDefault="00A337BE" w:rsidP="00A337BE">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r w:rsidRPr="00A337BE">
              <w:rPr>
                <w:rFonts w:ascii="HelveticaNeueLT Std" w:hAnsi="HelveticaNeueLT Std" w:cs="Arial"/>
                <w:bCs/>
                <w:sz w:val="20"/>
                <w:szCs w:val="20"/>
                <w:lang w:eastAsia="es-MX"/>
              </w:rPr>
              <w:t xml:space="preserve">b) Becas de Posgrado; y </w:t>
            </w:r>
          </w:p>
          <w:p w14:paraId="29C7A453" w14:textId="5132E387" w:rsidR="00A337BE" w:rsidRDefault="00A337BE" w:rsidP="00A337BE">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r w:rsidRPr="00A337BE">
              <w:rPr>
                <w:rFonts w:ascii="HelveticaNeueLT Std" w:hAnsi="HelveticaNeueLT Std" w:cs="Arial"/>
                <w:bCs/>
                <w:sz w:val="20"/>
                <w:szCs w:val="20"/>
                <w:lang w:eastAsia="es-MX"/>
              </w:rPr>
              <w:t xml:space="preserve">c) Becas de Investigación. </w:t>
            </w:r>
          </w:p>
          <w:p w14:paraId="6B5C0194" w14:textId="5940E615" w:rsidR="00BE69EA" w:rsidRDefault="00A337BE" w:rsidP="00A337BE">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r w:rsidRPr="00A337BE">
              <w:rPr>
                <w:rFonts w:ascii="HelveticaNeueLT Std" w:hAnsi="HelveticaNeueLT Std" w:cs="Arial"/>
                <w:bCs/>
                <w:sz w:val="20"/>
                <w:szCs w:val="20"/>
                <w:lang w:eastAsia="es-MX"/>
              </w:rPr>
              <w:t>d) Becas del Reconocimiento al Esfuerzo Hacendario Municipal</w:t>
            </w:r>
          </w:p>
          <w:p w14:paraId="126BADCA" w14:textId="74929D93" w:rsidR="00A337BE" w:rsidRDefault="00A337BE"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7B3F9E7" w14:textId="3F832544" w:rsidR="00A337BE" w:rsidRDefault="003D75F5" w:rsidP="006B2330">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r w:rsidRPr="003D75F5">
              <w:rPr>
                <w:rFonts w:ascii="HelveticaNeueLT Std" w:hAnsi="HelveticaNeueLT Std" w:cs="Arial"/>
                <w:bCs/>
                <w:sz w:val="20"/>
                <w:szCs w:val="20"/>
                <w:lang w:eastAsia="es-MX"/>
              </w:rPr>
              <w:t>Serán sujetos del otorgamiento de becas, quienes cumplan con los requisitos y condiciones que se determinan en los presentes lineamientos y demás disposiciones que determine el Comité Técnico de Becas.</w:t>
            </w:r>
          </w:p>
          <w:p w14:paraId="7064AB5D" w14:textId="494BB40E" w:rsidR="00A337BE" w:rsidRDefault="00A337BE"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847623C" w14:textId="427134C2" w:rsidR="00A337BE" w:rsidRDefault="00426741" w:rsidP="006B2330">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r w:rsidRPr="00426741">
              <w:rPr>
                <w:rFonts w:ascii="HelveticaNeueLT Std" w:hAnsi="HelveticaNeueLT Std" w:cs="Arial"/>
                <w:bCs/>
                <w:sz w:val="20"/>
                <w:szCs w:val="20"/>
                <w:lang w:eastAsia="es-MX"/>
              </w:rPr>
              <w:t>Las convocatorias para el otorgamiento de becas, en la modalidad posgrado, serán autorizadas por el Comité Técnico de Becas y publicadas; con excepción de las de investigación.</w:t>
            </w:r>
          </w:p>
          <w:p w14:paraId="08800415" w14:textId="4FA53A02" w:rsidR="00A337BE" w:rsidRDefault="00A337BE"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067C588" w14:textId="406DB80E" w:rsidR="000D0278" w:rsidRPr="00731765" w:rsidRDefault="00426741" w:rsidP="00BE69EA">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r w:rsidRPr="00426741">
              <w:rPr>
                <w:rFonts w:ascii="HelveticaNeueLT Std" w:hAnsi="HelveticaNeueLT Std" w:cs="Arial"/>
                <w:bCs/>
                <w:sz w:val="20"/>
                <w:szCs w:val="20"/>
                <w:lang w:eastAsia="es-MX"/>
              </w:rPr>
              <w:t xml:space="preserve">El Comité Técnico de Becas, a través de las convocatorias que emita determinará los criterios específicos de calidad, pertinencia, relevancia y méritos que deberán satisfacer los programas de estudio, así como </w:t>
            </w:r>
          </w:p>
        </w:tc>
      </w:tr>
      <w:tr w:rsidR="00731765" w:rsidRPr="009E299E" w14:paraId="528C171A" w14:textId="77777777" w:rsidTr="00731765">
        <w:trPr>
          <w:trHeight w:val="117"/>
          <w:jc w:val="center"/>
        </w:trPr>
        <w:tc>
          <w:tcPr>
            <w:tcW w:w="567" w:type="dxa"/>
            <w:tcBorders>
              <w:top w:val="single" w:sz="4" w:space="0" w:color="auto"/>
              <w:bottom w:val="nil"/>
            </w:tcBorders>
          </w:tcPr>
          <w:p w14:paraId="7B3440CE" w14:textId="77777777" w:rsidR="00731765" w:rsidRPr="009E299E" w:rsidRDefault="0073176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1EA709C3" w14:textId="77777777" w:rsidR="00731765" w:rsidRPr="009E299E" w:rsidRDefault="00731765"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092E391D" w14:textId="77777777" w:rsidR="00731765" w:rsidRDefault="00731765"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14189DCD" w14:textId="77777777" w:rsidR="00731765" w:rsidRDefault="00731765" w:rsidP="00731765">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r w:rsidRPr="00426741">
              <w:rPr>
                <w:rFonts w:ascii="HelveticaNeueLT Std" w:hAnsi="HelveticaNeueLT Std" w:cs="Arial"/>
                <w:bCs/>
                <w:sz w:val="20"/>
                <w:szCs w:val="20"/>
                <w:lang w:eastAsia="es-MX"/>
              </w:rPr>
              <w:t>los alumnos y candidatos a recibir las becas en alguna de las modalidades establecidas en los presentes lineamientos, tomando en consideración el presupuesto autorizado para el ejercicio fiscal correspondiente.</w:t>
            </w:r>
          </w:p>
          <w:p w14:paraId="0F6A739A" w14:textId="77777777" w:rsidR="00731765" w:rsidRDefault="00731765" w:rsidP="00731765">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p>
          <w:p w14:paraId="01E1A248" w14:textId="77777777" w:rsidR="00731765" w:rsidRPr="00426741" w:rsidRDefault="00731765" w:rsidP="00731765">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r w:rsidRPr="00426741">
              <w:rPr>
                <w:rFonts w:ascii="HelveticaNeueLT Std" w:hAnsi="HelveticaNeueLT Std" w:cs="Arial"/>
                <w:bCs/>
                <w:sz w:val="20"/>
                <w:szCs w:val="20"/>
                <w:lang w:eastAsia="es-MX"/>
              </w:rPr>
              <w:t>El presente ordenamiento entrará en vigor al día siete de octubre de dos mil veintidós.</w:t>
            </w:r>
          </w:p>
          <w:p w14:paraId="4D51B4A6" w14:textId="77777777" w:rsidR="00731765" w:rsidRDefault="00731765" w:rsidP="00B60377">
            <w:pPr>
              <w:autoSpaceDE w:val="0"/>
              <w:autoSpaceDN w:val="0"/>
              <w:adjustRightInd w:val="0"/>
              <w:spacing w:line="276" w:lineRule="auto"/>
              <w:jc w:val="both"/>
              <w:rPr>
                <w:rFonts w:ascii="HelveticaNeueLT Std" w:hAnsi="HelveticaNeueLT Std" w:cs="Arial"/>
                <w:bCs/>
                <w:sz w:val="20"/>
                <w:szCs w:val="20"/>
                <w:lang w:eastAsia="es-MX"/>
              </w:rPr>
            </w:pPr>
          </w:p>
        </w:tc>
      </w:tr>
      <w:tr w:rsidR="00A84D27" w:rsidRPr="009E299E" w14:paraId="3988A088" w14:textId="77777777" w:rsidTr="00731765">
        <w:trPr>
          <w:trHeight w:val="117"/>
          <w:jc w:val="center"/>
        </w:trPr>
        <w:tc>
          <w:tcPr>
            <w:tcW w:w="567" w:type="dxa"/>
            <w:tcBorders>
              <w:top w:val="nil"/>
              <w:bottom w:val="single" w:sz="4" w:space="0" w:color="auto"/>
            </w:tcBorders>
          </w:tcPr>
          <w:p w14:paraId="4900E35B" w14:textId="7017D532" w:rsidR="00A84D27" w:rsidRPr="009E299E" w:rsidRDefault="00A84D27"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65</w:t>
            </w:r>
          </w:p>
        </w:tc>
        <w:tc>
          <w:tcPr>
            <w:tcW w:w="2410" w:type="dxa"/>
            <w:tcBorders>
              <w:top w:val="nil"/>
              <w:bottom w:val="single" w:sz="4" w:space="0" w:color="auto"/>
            </w:tcBorders>
          </w:tcPr>
          <w:p w14:paraId="70CE48F9" w14:textId="3B34DF07" w:rsidR="00A84D27" w:rsidRPr="009E299E" w:rsidRDefault="00A84D27" w:rsidP="00A84D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07-octubre-</w:t>
            </w:r>
            <w:r w:rsidRPr="009E299E">
              <w:rPr>
                <w:rFonts w:ascii="HelveticaNeueLT Std" w:hAnsi="HelveticaNeueLT Std" w:cs="Arial"/>
                <w:b/>
                <w:sz w:val="20"/>
                <w:szCs w:val="20"/>
              </w:rPr>
              <w:t>202</w:t>
            </w:r>
            <w:r>
              <w:rPr>
                <w:rFonts w:ascii="HelveticaNeueLT Std" w:hAnsi="HelveticaNeueLT Std" w:cs="Arial"/>
                <w:b/>
                <w:sz w:val="20"/>
                <w:szCs w:val="20"/>
              </w:rPr>
              <w:t>2</w:t>
            </w:r>
          </w:p>
          <w:p w14:paraId="34D25F69" w14:textId="77777777" w:rsidR="00A84D27" w:rsidRPr="009E299E" w:rsidRDefault="00A84D27" w:rsidP="00A84D27">
            <w:pPr>
              <w:spacing w:line="276" w:lineRule="auto"/>
              <w:ind w:left="17"/>
              <w:jc w:val="center"/>
              <w:rPr>
                <w:rFonts w:ascii="HelveticaNeueLT Std" w:hAnsi="HelveticaNeueLT Std" w:cs="Arial"/>
                <w:b/>
                <w:sz w:val="20"/>
                <w:szCs w:val="20"/>
              </w:rPr>
            </w:pPr>
          </w:p>
          <w:p w14:paraId="05A308CE" w14:textId="77777777" w:rsidR="00A84D27" w:rsidRPr="009E299E" w:rsidRDefault="00A84D27" w:rsidP="00A84D2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421EFA57" w14:textId="5CA4E676" w:rsidR="00A84D27" w:rsidRPr="009E299E" w:rsidRDefault="00A84D27" w:rsidP="00A84D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Segunda</w:t>
            </w:r>
          </w:p>
        </w:tc>
        <w:tc>
          <w:tcPr>
            <w:tcW w:w="3686" w:type="dxa"/>
            <w:tcBorders>
              <w:top w:val="nil"/>
              <w:bottom w:val="single" w:sz="4" w:space="0" w:color="auto"/>
            </w:tcBorders>
            <w:shd w:val="clear" w:color="auto" w:fill="FFFFFF" w:themeFill="background1"/>
          </w:tcPr>
          <w:p w14:paraId="7618F133" w14:textId="565782CE" w:rsidR="006E5F24" w:rsidRPr="006E5F24" w:rsidRDefault="006E5F24" w:rsidP="00477435">
            <w:pPr>
              <w:spacing w:before="225" w:after="225" w:line="276" w:lineRule="auto"/>
              <w:jc w:val="center"/>
              <w:rPr>
                <w:rFonts w:ascii="HelveticaNeueLT Std" w:hAnsi="HelveticaNeueLT Std" w:cs="Arial"/>
                <w:b/>
                <w:sz w:val="20"/>
                <w:szCs w:val="20"/>
              </w:rPr>
            </w:pPr>
            <w:r w:rsidRPr="006E5F24">
              <w:rPr>
                <w:rFonts w:ascii="HelveticaNeueLT Std" w:hAnsi="HelveticaNeueLT Std" w:cs="Arial"/>
                <w:b/>
                <w:bCs/>
                <w:sz w:val="20"/>
                <w:szCs w:val="20"/>
              </w:rPr>
              <w:t>Poder Ejecutivo del Estado</w:t>
            </w:r>
          </w:p>
          <w:p w14:paraId="3976C51B" w14:textId="061887A8" w:rsidR="00A84D27" w:rsidRDefault="006821BC" w:rsidP="00EC76D3">
            <w:pPr>
              <w:spacing w:before="225" w:after="225" w:line="276" w:lineRule="auto"/>
              <w:jc w:val="both"/>
              <w:rPr>
                <w:rFonts w:ascii="HelveticaNeueLT Std" w:hAnsi="HelveticaNeueLT Std" w:cs="Arial"/>
                <w:b/>
                <w:sz w:val="20"/>
                <w:szCs w:val="20"/>
              </w:rPr>
            </w:pPr>
            <w:hyperlink r:id="rId9" w:tgtFrame="_blank" w:history="1">
              <w:r w:rsidR="00B96F04" w:rsidRPr="00B96F04">
                <w:rPr>
                  <w:rFonts w:ascii="HelveticaNeueLT Std" w:hAnsi="HelveticaNeueLT Std" w:cs="Arial"/>
                  <w:b/>
                  <w:sz w:val="20"/>
                  <w:szCs w:val="20"/>
                </w:rPr>
                <w:t>Decreto Número 97.- Por el que se reforman los incisos d) y e) de la fracción I y los incisos d) y e) de la fracción II del artículo 149 de la Ley Orgánica Municipal del Estado de México.</w:t>
              </w:r>
            </w:hyperlink>
          </w:p>
        </w:tc>
        <w:tc>
          <w:tcPr>
            <w:tcW w:w="7938" w:type="dxa"/>
            <w:tcBorders>
              <w:top w:val="nil"/>
              <w:bottom w:val="single" w:sz="4" w:space="0" w:color="auto"/>
            </w:tcBorders>
          </w:tcPr>
          <w:p w14:paraId="0281AFA9" w14:textId="77777777" w:rsidR="006E5F24" w:rsidRDefault="006E5F24" w:rsidP="00B96F04">
            <w:pPr>
              <w:autoSpaceDE w:val="0"/>
              <w:autoSpaceDN w:val="0"/>
              <w:adjustRightInd w:val="0"/>
              <w:spacing w:line="276" w:lineRule="auto"/>
              <w:jc w:val="both"/>
              <w:rPr>
                <w:rFonts w:ascii="HelveticaNeueLT Std" w:hAnsi="HelveticaNeueLT Std" w:cs="Arial"/>
                <w:bCs/>
                <w:sz w:val="20"/>
                <w:szCs w:val="20"/>
                <w:lang w:eastAsia="es-MX"/>
              </w:rPr>
            </w:pPr>
          </w:p>
          <w:p w14:paraId="66E6D5A4" w14:textId="4FB8E04C" w:rsidR="00B96F04" w:rsidRDefault="00B96F04" w:rsidP="00B96F04">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w:t>
            </w:r>
            <w:r>
              <w:rPr>
                <w:rFonts w:ascii="HelveticaNeueLT Std" w:hAnsi="HelveticaNeueLT Std" w:cs="Arial"/>
                <w:bCs/>
                <w:sz w:val="20"/>
                <w:szCs w:val="20"/>
                <w:lang w:eastAsia="es-MX"/>
              </w:rPr>
              <w:t>través del presente decreto s</w:t>
            </w:r>
            <w:r w:rsidRPr="00E26C0C">
              <w:rPr>
                <w:rFonts w:ascii="HelveticaNeueLT Std" w:hAnsi="HelveticaNeueLT Std" w:cs="Arial"/>
                <w:bCs/>
                <w:sz w:val="20"/>
                <w:szCs w:val="20"/>
                <w:lang w:eastAsia="es-MX"/>
              </w:rPr>
              <w:t>e reforma</w:t>
            </w:r>
            <w:r>
              <w:rPr>
                <w:rFonts w:ascii="HelveticaNeueLT Std" w:hAnsi="HelveticaNeueLT Std" w:cs="Arial"/>
                <w:bCs/>
                <w:sz w:val="20"/>
                <w:szCs w:val="20"/>
                <w:lang w:eastAsia="es-MX"/>
              </w:rPr>
              <w:t>n</w:t>
            </w:r>
            <w:r w:rsidRPr="00E26C0C">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l</w:t>
            </w:r>
            <w:r w:rsidRPr="00B96F04">
              <w:rPr>
                <w:rFonts w:ascii="HelveticaNeueLT Std" w:hAnsi="HelveticaNeueLT Std" w:cs="Arial"/>
                <w:bCs/>
                <w:sz w:val="20"/>
                <w:szCs w:val="20"/>
                <w:lang w:eastAsia="es-MX"/>
              </w:rPr>
              <w:t xml:space="preserve">os incisos d) y e) de la fracción I y los incisos d) y e) de la fracción II del artículo 149 </w:t>
            </w:r>
            <w:r w:rsidRPr="00E26C0C">
              <w:rPr>
                <w:rFonts w:ascii="HelveticaNeueLT Std" w:hAnsi="HelveticaNeueLT Std" w:cs="Arial"/>
                <w:bCs/>
                <w:sz w:val="20"/>
                <w:szCs w:val="20"/>
                <w:lang w:eastAsia="es-MX"/>
              </w:rPr>
              <w:t>para quedar como sigue:</w:t>
            </w:r>
          </w:p>
          <w:p w14:paraId="6154A0FD" w14:textId="77777777" w:rsidR="006E5F24" w:rsidRDefault="006E5F24" w:rsidP="00B96F04">
            <w:pPr>
              <w:autoSpaceDE w:val="0"/>
              <w:autoSpaceDN w:val="0"/>
              <w:adjustRightInd w:val="0"/>
              <w:spacing w:line="276" w:lineRule="auto"/>
              <w:jc w:val="both"/>
              <w:rPr>
                <w:rFonts w:ascii="HelveticaNeueLT Std" w:hAnsi="HelveticaNeueLT Std" w:cs="Arial"/>
                <w:bCs/>
                <w:sz w:val="20"/>
                <w:szCs w:val="20"/>
                <w:lang w:eastAsia="es-MX"/>
              </w:rPr>
            </w:pPr>
          </w:p>
          <w:p w14:paraId="0CA8E339" w14:textId="77777777" w:rsidR="0032538C" w:rsidRPr="00DA25CA" w:rsidRDefault="00B96F04" w:rsidP="00B96F04">
            <w:pPr>
              <w:autoSpaceDE w:val="0"/>
              <w:autoSpaceDN w:val="0"/>
              <w:adjustRightInd w:val="0"/>
              <w:spacing w:line="276" w:lineRule="auto"/>
              <w:jc w:val="both"/>
              <w:rPr>
                <w:rFonts w:ascii="HelveticaNeueLT Std" w:hAnsi="HelveticaNeueLT Std" w:cs="Arial"/>
                <w:bCs/>
                <w:sz w:val="20"/>
                <w:szCs w:val="20"/>
                <w:lang w:eastAsia="es-MX"/>
              </w:rPr>
            </w:pPr>
            <w:r>
              <w:t xml:space="preserve"> </w:t>
            </w:r>
            <w:r w:rsidR="004D0DBF" w:rsidRPr="00DA25CA">
              <w:rPr>
                <w:rFonts w:ascii="HelveticaNeueLT Std" w:hAnsi="HelveticaNeueLT Std" w:cs="Arial"/>
                <w:bCs/>
                <w:sz w:val="20"/>
                <w:szCs w:val="20"/>
                <w:lang w:eastAsia="es-MX"/>
              </w:rPr>
              <w:t xml:space="preserve">Artículo 149.- … </w:t>
            </w:r>
          </w:p>
          <w:p w14:paraId="0167A4C4"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I. … </w:t>
            </w:r>
          </w:p>
          <w:p w14:paraId="6C2FB90E" w14:textId="23F176CF"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a). a c). … </w:t>
            </w:r>
          </w:p>
          <w:p w14:paraId="606ED5FD"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d). Tener cuando menos veinticuatro años al momento de su designación;</w:t>
            </w:r>
          </w:p>
          <w:p w14:paraId="29129905"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e). Ser Licenciado en Derecho, en Psicología, en Sociología, en Antropología, en trabajo social, en comunicaciones, en medios alternos de solución de conflictos u otra afín y/o tener acreditados los estudios en materia de mediación, y </w:t>
            </w:r>
          </w:p>
          <w:p w14:paraId="20263E62"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f). … </w:t>
            </w:r>
          </w:p>
          <w:p w14:paraId="244F92BF"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II. … </w:t>
            </w:r>
          </w:p>
          <w:p w14:paraId="33C028E0"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a). a c). … </w:t>
            </w:r>
          </w:p>
          <w:p w14:paraId="246E0E25" w14:textId="77777777" w:rsidR="0032538C" w:rsidRPr="00DA25CA"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 xml:space="preserve">d). Tener cuando menos veinticuatro años al momento de su designación, y </w:t>
            </w:r>
          </w:p>
          <w:p w14:paraId="409ED8E8" w14:textId="56A5745E" w:rsidR="00B96F04" w:rsidRPr="006E5F24" w:rsidRDefault="004D0DBF" w:rsidP="00B96F04">
            <w:pPr>
              <w:autoSpaceDE w:val="0"/>
              <w:autoSpaceDN w:val="0"/>
              <w:adjustRightInd w:val="0"/>
              <w:spacing w:line="276" w:lineRule="auto"/>
              <w:jc w:val="both"/>
              <w:rPr>
                <w:rFonts w:ascii="HelveticaNeueLT Std" w:hAnsi="HelveticaNeueLT Std" w:cs="Arial"/>
                <w:bCs/>
                <w:sz w:val="20"/>
                <w:szCs w:val="20"/>
                <w:lang w:eastAsia="es-MX"/>
              </w:rPr>
            </w:pPr>
            <w:r w:rsidRPr="00DA25CA">
              <w:rPr>
                <w:rFonts w:ascii="HelveticaNeueLT Std" w:hAnsi="HelveticaNeueLT Std" w:cs="Arial"/>
                <w:bCs/>
                <w:sz w:val="20"/>
                <w:szCs w:val="20"/>
                <w:lang w:eastAsia="es-MX"/>
              </w:rPr>
              <w:t>e). Ser Licenciado en Derecho o Licenciado en Medios Alternos de Solución de Conflictos u otra afín.</w:t>
            </w:r>
          </w:p>
          <w:p w14:paraId="7617FF6B" w14:textId="64A72A6F" w:rsidR="00B96F04" w:rsidRDefault="00B96F04" w:rsidP="00B96F04">
            <w:pPr>
              <w:autoSpaceDE w:val="0"/>
              <w:autoSpaceDN w:val="0"/>
              <w:adjustRightInd w:val="0"/>
              <w:spacing w:line="276" w:lineRule="auto"/>
              <w:jc w:val="both"/>
            </w:pPr>
          </w:p>
          <w:p w14:paraId="7C13DE87" w14:textId="77777777" w:rsidR="00AA51BE" w:rsidRDefault="00AA51BE" w:rsidP="00B96F04">
            <w:pPr>
              <w:autoSpaceDE w:val="0"/>
              <w:autoSpaceDN w:val="0"/>
              <w:adjustRightInd w:val="0"/>
              <w:spacing w:line="276" w:lineRule="auto"/>
              <w:jc w:val="both"/>
            </w:pPr>
          </w:p>
          <w:p w14:paraId="2F09836D" w14:textId="77777777" w:rsidR="00A84D27" w:rsidRDefault="006E5F24" w:rsidP="005F12FD">
            <w:pPr>
              <w:autoSpaceDE w:val="0"/>
              <w:autoSpaceDN w:val="0"/>
              <w:adjustRightInd w:val="0"/>
              <w:spacing w:line="276" w:lineRule="auto"/>
              <w:jc w:val="both"/>
              <w:rPr>
                <w:rFonts w:ascii="HelveticaNeueLT Std" w:hAnsi="HelveticaNeueLT Std" w:cs="Arial"/>
                <w:bCs/>
                <w:sz w:val="20"/>
                <w:szCs w:val="20"/>
                <w:lang w:eastAsia="es-MX"/>
              </w:rPr>
            </w:pPr>
            <w:r w:rsidRPr="00E26C0C">
              <w:rPr>
                <w:rFonts w:ascii="HelveticaNeueLT Std" w:hAnsi="HelveticaNeueLT Std" w:cs="Arial"/>
                <w:bCs/>
                <w:sz w:val="20"/>
                <w:szCs w:val="20"/>
                <w:lang w:eastAsia="es-MX"/>
              </w:rPr>
              <w:t xml:space="preserve">El presente </w:t>
            </w:r>
            <w:r>
              <w:rPr>
                <w:rFonts w:ascii="HelveticaNeueLT Std" w:hAnsi="HelveticaNeueLT Std" w:cs="Arial"/>
                <w:bCs/>
                <w:sz w:val="20"/>
                <w:szCs w:val="20"/>
                <w:lang w:eastAsia="es-MX"/>
              </w:rPr>
              <w:t>Decreto entrará en vigor al día diez de octubre del año dos mil veintidós.</w:t>
            </w:r>
          </w:p>
          <w:p w14:paraId="28E8FDF5" w14:textId="77777777" w:rsidR="00731765" w:rsidRDefault="00731765" w:rsidP="005F12FD">
            <w:pPr>
              <w:autoSpaceDE w:val="0"/>
              <w:autoSpaceDN w:val="0"/>
              <w:adjustRightInd w:val="0"/>
              <w:spacing w:line="276" w:lineRule="auto"/>
              <w:jc w:val="both"/>
              <w:rPr>
                <w:rFonts w:ascii="HelveticaNeueLT Std" w:hAnsi="HelveticaNeueLT Std" w:cs="Arial"/>
                <w:bCs/>
                <w:sz w:val="20"/>
                <w:szCs w:val="20"/>
                <w:lang w:eastAsia="es-MX"/>
              </w:rPr>
            </w:pPr>
          </w:p>
          <w:p w14:paraId="1BF32915" w14:textId="77777777" w:rsidR="00731765" w:rsidRDefault="00731765" w:rsidP="005F12FD">
            <w:pPr>
              <w:autoSpaceDE w:val="0"/>
              <w:autoSpaceDN w:val="0"/>
              <w:adjustRightInd w:val="0"/>
              <w:spacing w:line="276" w:lineRule="auto"/>
              <w:jc w:val="both"/>
              <w:rPr>
                <w:rFonts w:ascii="HelveticaNeueLT Std" w:hAnsi="HelveticaNeueLT Std" w:cs="Arial"/>
                <w:bCs/>
                <w:sz w:val="20"/>
                <w:szCs w:val="20"/>
                <w:lang w:eastAsia="es-MX"/>
              </w:rPr>
            </w:pPr>
          </w:p>
          <w:p w14:paraId="1C746D0F" w14:textId="6EADC889" w:rsidR="00731765" w:rsidRDefault="00731765" w:rsidP="005F12FD">
            <w:pPr>
              <w:autoSpaceDE w:val="0"/>
              <w:autoSpaceDN w:val="0"/>
              <w:adjustRightInd w:val="0"/>
              <w:spacing w:line="276" w:lineRule="auto"/>
              <w:jc w:val="both"/>
              <w:rPr>
                <w:rFonts w:ascii="HelveticaNeueLT Std" w:hAnsi="HelveticaNeueLT Std" w:cs="Arial"/>
                <w:bCs/>
                <w:sz w:val="20"/>
                <w:szCs w:val="20"/>
                <w:lang w:eastAsia="es-MX"/>
              </w:rPr>
            </w:pPr>
          </w:p>
        </w:tc>
      </w:tr>
      <w:tr w:rsidR="005F12FD" w:rsidRPr="009E299E" w14:paraId="21064F2F" w14:textId="77777777" w:rsidTr="00B21846">
        <w:trPr>
          <w:trHeight w:val="117"/>
          <w:jc w:val="center"/>
        </w:trPr>
        <w:tc>
          <w:tcPr>
            <w:tcW w:w="567" w:type="dxa"/>
            <w:tcBorders>
              <w:top w:val="single" w:sz="4" w:space="0" w:color="auto"/>
              <w:bottom w:val="single" w:sz="4" w:space="0" w:color="auto"/>
            </w:tcBorders>
          </w:tcPr>
          <w:p w14:paraId="2A8DECE7" w14:textId="17A717FF" w:rsidR="005F12FD" w:rsidRDefault="00CB211A"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66</w:t>
            </w:r>
          </w:p>
        </w:tc>
        <w:tc>
          <w:tcPr>
            <w:tcW w:w="2410" w:type="dxa"/>
            <w:tcBorders>
              <w:top w:val="single" w:sz="4" w:space="0" w:color="auto"/>
              <w:bottom w:val="single" w:sz="4" w:space="0" w:color="auto"/>
            </w:tcBorders>
          </w:tcPr>
          <w:p w14:paraId="3A3737CE" w14:textId="77777777" w:rsidR="005F12FD" w:rsidRDefault="00C04136" w:rsidP="00A84D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10-octubre-2022</w:t>
            </w:r>
          </w:p>
          <w:p w14:paraId="008493D8" w14:textId="77777777" w:rsidR="00C04136" w:rsidRDefault="00C04136" w:rsidP="00A84D27">
            <w:pPr>
              <w:spacing w:line="276" w:lineRule="auto"/>
              <w:ind w:left="17"/>
              <w:jc w:val="center"/>
              <w:rPr>
                <w:rFonts w:ascii="HelveticaNeueLT Std" w:hAnsi="HelveticaNeueLT Std" w:cs="Arial"/>
                <w:b/>
                <w:sz w:val="20"/>
                <w:szCs w:val="20"/>
              </w:rPr>
            </w:pPr>
          </w:p>
          <w:p w14:paraId="287EB907" w14:textId="77777777" w:rsidR="00C04136" w:rsidRDefault="00C04136" w:rsidP="00A84D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Sección</w:t>
            </w:r>
          </w:p>
          <w:p w14:paraId="4CEBD170" w14:textId="77777777" w:rsidR="00C04136" w:rsidRDefault="00C04136" w:rsidP="00A84D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p w14:paraId="21C62E24" w14:textId="73D852C2" w:rsidR="00C04136" w:rsidRDefault="00C04136"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CBF66D9" w14:textId="77777777" w:rsidR="00117376" w:rsidRDefault="00117376" w:rsidP="00117376">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Secretaría de Finanzas</w:t>
            </w:r>
          </w:p>
          <w:p w14:paraId="69F57EA4" w14:textId="77777777" w:rsidR="005F12FD" w:rsidRDefault="006821BC" w:rsidP="00432A8C">
            <w:pPr>
              <w:spacing w:before="225" w:after="225" w:line="276" w:lineRule="auto"/>
              <w:jc w:val="both"/>
              <w:rPr>
                <w:rFonts w:ascii="HelveticaNeueLT Std" w:hAnsi="HelveticaNeueLT Std" w:cs="Arial"/>
                <w:b/>
                <w:sz w:val="20"/>
                <w:szCs w:val="20"/>
              </w:rPr>
            </w:pPr>
            <w:hyperlink r:id="rId10" w:tgtFrame="_blank" w:history="1">
              <w:r w:rsidR="00117376" w:rsidRPr="00117376">
                <w:rPr>
                  <w:rFonts w:ascii="HelveticaNeueLT Std" w:hAnsi="HelveticaNeueLT Std" w:cs="Arial"/>
                  <w:b/>
                  <w:sz w:val="20"/>
                  <w:szCs w:val="20"/>
                </w:rPr>
                <w:t>Manual para la Planeación, Programación y Presupuesto de Egresos Municipal para el Ejercicio Fiscal 2023.</w:t>
              </w:r>
            </w:hyperlink>
          </w:p>
          <w:p w14:paraId="7CA53B81" w14:textId="77777777" w:rsidR="005B7FEF" w:rsidRDefault="005B7FEF" w:rsidP="00117376">
            <w:pPr>
              <w:spacing w:before="225" w:after="225" w:line="276" w:lineRule="auto"/>
              <w:jc w:val="center"/>
              <w:rPr>
                <w:rFonts w:ascii="HelveticaNeueLT Std" w:hAnsi="HelveticaNeueLT Std" w:cs="Arial"/>
                <w:b/>
                <w:sz w:val="20"/>
                <w:szCs w:val="20"/>
              </w:rPr>
            </w:pPr>
          </w:p>
          <w:p w14:paraId="1098C5D1" w14:textId="77777777" w:rsidR="005B7FEF" w:rsidRDefault="005B7FEF" w:rsidP="00117376">
            <w:pPr>
              <w:spacing w:before="225" w:after="225" w:line="276" w:lineRule="auto"/>
              <w:jc w:val="center"/>
              <w:rPr>
                <w:rFonts w:ascii="HelveticaNeueLT Std" w:hAnsi="HelveticaNeueLT Std" w:cs="Arial"/>
                <w:b/>
                <w:sz w:val="20"/>
                <w:szCs w:val="20"/>
              </w:rPr>
            </w:pPr>
          </w:p>
          <w:p w14:paraId="02049FC2" w14:textId="77777777" w:rsidR="005B7FEF" w:rsidRDefault="005B7FEF" w:rsidP="00117376">
            <w:pPr>
              <w:spacing w:before="225" w:after="225" w:line="276" w:lineRule="auto"/>
              <w:jc w:val="center"/>
              <w:rPr>
                <w:rFonts w:ascii="HelveticaNeueLT Std" w:hAnsi="HelveticaNeueLT Std" w:cs="Arial"/>
                <w:b/>
                <w:sz w:val="20"/>
                <w:szCs w:val="20"/>
              </w:rPr>
            </w:pPr>
          </w:p>
          <w:p w14:paraId="1F6D6D89" w14:textId="77777777" w:rsidR="005B7FEF" w:rsidRDefault="005B7FEF" w:rsidP="00117376">
            <w:pPr>
              <w:spacing w:before="225" w:after="225" w:line="276" w:lineRule="auto"/>
              <w:jc w:val="center"/>
              <w:rPr>
                <w:rFonts w:ascii="HelveticaNeueLT Std" w:hAnsi="HelveticaNeueLT Std" w:cs="Arial"/>
                <w:b/>
                <w:sz w:val="20"/>
                <w:szCs w:val="20"/>
              </w:rPr>
            </w:pPr>
          </w:p>
          <w:p w14:paraId="6E58B43B" w14:textId="77777777" w:rsidR="005B7FEF" w:rsidRDefault="005B7FEF" w:rsidP="00117376">
            <w:pPr>
              <w:spacing w:before="225" w:after="225" w:line="276" w:lineRule="auto"/>
              <w:jc w:val="center"/>
              <w:rPr>
                <w:rFonts w:ascii="HelveticaNeueLT Std" w:hAnsi="HelveticaNeueLT Std" w:cs="Arial"/>
                <w:b/>
                <w:sz w:val="20"/>
                <w:szCs w:val="20"/>
              </w:rPr>
            </w:pPr>
          </w:p>
          <w:p w14:paraId="5209A16C" w14:textId="77777777" w:rsidR="005B7FEF" w:rsidRDefault="005B7FEF" w:rsidP="00117376">
            <w:pPr>
              <w:spacing w:before="225" w:after="225" w:line="276" w:lineRule="auto"/>
              <w:jc w:val="center"/>
              <w:rPr>
                <w:rFonts w:ascii="HelveticaNeueLT Std" w:hAnsi="HelveticaNeueLT Std" w:cs="Arial"/>
                <w:b/>
                <w:sz w:val="20"/>
                <w:szCs w:val="20"/>
              </w:rPr>
            </w:pPr>
          </w:p>
          <w:p w14:paraId="1C6B2E33" w14:textId="77777777" w:rsidR="005B7FEF" w:rsidRDefault="005B7FEF" w:rsidP="00117376">
            <w:pPr>
              <w:spacing w:before="225" w:after="225" w:line="276" w:lineRule="auto"/>
              <w:jc w:val="center"/>
              <w:rPr>
                <w:rFonts w:ascii="HelveticaNeueLT Std" w:hAnsi="HelveticaNeueLT Std" w:cs="Arial"/>
                <w:b/>
                <w:sz w:val="20"/>
                <w:szCs w:val="20"/>
              </w:rPr>
            </w:pPr>
          </w:p>
          <w:p w14:paraId="534A41BE" w14:textId="77777777" w:rsidR="005B7FEF" w:rsidRDefault="005B7FEF" w:rsidP="00117376">
            <w:pPr>
              <w:spacing w:before="225" w:after="225" w:line="276" w:lineRule="auto"/>
              <w:jc w:val="center"/>
              <w:rPr>
                <w:rFonts w:ascii="HelveticaNeueLT Std" w:hAnsi="HelveticaNeueLT Std" w:cs="Arial"/>
                <w:b/>
                <w:sz w:val="20"/>
                <w:szCs w:val="20"/>
              </w:rPr>
            </w:pPr>
          </w:p>
          <w:p w14:paraId="24487990" w14:textId="77777777" w:rsidR="005B7FEF" w:rsidRDefault="005B7FEF" w:rsidP="00117376">
            <w:pPr>
              <w:spacing w:before="225" w:after="225" w:line="276" w:lineRule="auto"/>
              <w:jc w:val="center"/>
              <w:rPr>
                <w:rFonts w:ascii="HelveticaNeueLT Std" w:hAnsi="HelveticaNeueLT Std" w:cs="Arial"/>
                <w:b/>
                <w:sz w:val="20"/>
                <w:szCs w:val="20"/>
              </w:rPr>
            </w:pPr>
          </w:p>
          <w:p w14:paraId="4C74D4F4" w14:textId="447B2656" w:rsidR="00B21846" w:rsidRDefault="00B21846" w:rsidP="00731765">
            <w:pPr>
              <w:spacing w:before="225" w:after="225" w:line="276" w:lineRule="auto"/>
              <w:rPr>
                <w:rFonts w:ascii="HelveticaNeueLT Std" w:hAnsi="HelveticaNeueLT Std" w:cs="Arial"/>
                <w:b/>
                <w:sz w:val="20"/>
                <w:szCs w:val="20"/>
              </w:rPr>
            </w:pPr>
          </w:p>
          <w:p w14:paraId="4AE4D4D9" w14:textId="0D08CD90" w:rsidR="005B7FEF" w:rsidRPr="00B21846" w:rsidRDefault="005B7FEF" w:rsidP="00B21846">
            <w:pPr>
              <w:spacing w:before="225" w:after="225" w:line="276" w:lineRule="auto"/>
              <w:rPr>
                <w:rFonts w:ascii="HelveticaNeueLT Std" w:hAnsi="HelveticaNeueLT Std" w:cs="Arial"/>
                <w:b/>
                <w:sz w:val="20"/>
                <w:szCs w:val="20"/>
              </w:rPr>
            </w:pPr>
          </w:p>
        </w:tc>
        <w:tc>
          <w:tcPr>
            <w:tcW w:w="7938" w:type="dxa"/>
            <w:tcBorders>
              <w:top w:val="single" w:sz="4" w:space="0" w:color="auto"/>
              <w:bottom w:val="single" w:sz="4" w:space="0" w:color="auto"/>
            </w:tcBorders>
          </w:tcPr>
          <w:p w14:paraId="7CFCD1DE" w14:textId="77777777" w:rsidR="00117376" w:rsidRDefault="00117376" w:rsidP="00B96F04">
            <w:pPr>
              <w:autoSpaceDE w:val="0"/>
              <w:autoSpaceDN w:val="0"/>
              <w:adjustRightInd w:val="0"/>
              <w:spacing w:line="276" w:lineRule="auto"/>
              <w:jc w:val="both"/>
              <w:rPr>
                <w:rFonts w:ascii="HelveticaNeueLT Std" w:hAnsi="HelveticaNeueLT Std" w:cs="Arial"/>
                <w:bCs/>
                <w:sz w:val="20"/>
                <w:szCs w:val="20"/>
                <w:lang w:eastAsia="es-MX"/>
              </w:rPr>
            </w:pPr>
          </w:p>
          <w:p w14:paraId="34B74A41" w14:textId="1C338BEF" w:rsidR="005F12FD" w:rsidRDefault="00117376" w:rsidP="00117376">
            <w:pPr>
              <w:autoSpaceDE w:val="0"/>
              <w:autoSpaceDN w:val="0"/>
              <w:adjustRightInd w:val="0"/>
              <w:spacing w:line="276" w:lineRule="auto"/>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A través de</w:t>
            </w:r>
            <w:r>
              <w:rPr>
                <w:rFonts w:ascii="HelveticaNeueLT Std" w:hAnsi="HelveticaNeueLT Std" w:cs="Arial"/>
                <w:bCs/>
                <w:sz w:val="20"/>
                <w:szCs w:val="20"/>
                <w:lang w:eastAsia="es-MX"/>
              </w:rPr>
              <w:t xml:space="preserve">l </w:t>
            </w:r>
            <w:r w:rsidRPr="00BE69EA">
              <w:rPr>
                <w:rFonts w:ascii="HelveticaNeueLT Std" w:hAnsi="HelveticaNeueLT Std" w:cs="Arial"/>
                <w:bCs/>
                <w:sz w:val="20"/>
                <w:szCs w:val="20"/>
                <w:lang w:eastAsia="es-MX"/>
              </w:rPr>
              <w:t xml:space="preserve">presente </w:t>
            </w:r>
            <w:r>
              <w:rPr>
                <w:rFonts w:ascii="HelveticaNeueLT Std" w:hAnsi="HelveticaNeueLT Std" w:cs="Arial"/>
                <w:bCs/>
                <w:sz w:val="20"/>
                <w:szCs w:val="20"/>
                <w:lang w:eastAsia="es-MX"/>
              </w:rPr>
              <w:t>Manual</w:t>
            </w:r>
            <w:r w:rsidRPr="00BE69EA">
              <w:rPr>
                <w:rFonts w:ascii="HelveticaNeueLT Std" w:hAnsi="HelveticaNeueLT Std" w:cs="Arial"/>
                <w:bCs/>
                <w:sz w:val="20"/>
                <w:szCs w:val="20"/>
                <w:lang w:eastAsia="es-MX"/>
              </w:rPr>
              <w:t xml:space="preserve"> </w:t>
            </w:r>
            <w:r w:rsidR="00EC76D3">
              <w:rPr>
                <w:rFonts w:ascii="HelveticaNeueLT Std" w:hAnsi="HelveticaNeueLT Std" w:cs="Arial"/>
                <w:bCs/>
                <w:sz w:val="20"/>
                <w:szCs w:val="20"/>
                <w:lang w:eastAsia="es-MX"/>
              </w:rPr>
              <w:t>tiene como propósito</w:t>
            </w:r>
            <w:r w:rsidRPr="00BE69EA">
              <w:rPr>
                <w:rFonts w:ascii="HelveticaNeueLT Std" w:hAnsi="HelveticaNeueLT Std" w:cs="Arial"/>
                <w:bCs/>
                <w:sz w:val="20"/>
                <w:szCs w:val="20"/>
                <w:lang w:eastAsia="es-MX"/>
              </w:rPr>
              <w:t>:</w:t>
            </w:r>
          </w:p>
          <w:p w14:paraId="209005AB" w14:textId="77777777" w:rsidR="00DE62F1" w:rsidRDefault="00DE62F1" w:rsidP="00117376">
            <w:pPr>
              <w:autoSpaceDE w:val="0"/>
              <w:autoSpaceDN w:val="0"/>
              <w:adjustRightInd w:val="0"/>
              <w:spacing w:line="276" w:lineRule="auto"/>
              <w:jc w:val="both"/>
              <w:rPr>
                <w:rFonts w:ascii="HelveticaNeueLT Std" w:hAnsi="HelveticaNeueLT Std" w:cs="Arial"/>
                <w:bCs/>
                <w:sz w:val="20"/>
                <w:szCs w:val="20"/>
                <w:lang w:eastAsia="es-MX"/>
              </w:rPr>
            </w:pPr>
          </w:p>
          <w:p w14:paraId="03CB000A" w14:textId="23F73E95" w:rsidR="00117376" w:rsidRDefault="00DE62F1" w:rsidP="006B2330">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7C2446">
              <w:rPr>
                <w:rFonts w:ascii="HelveticaNeueLT Std" w:hAnsi="HelveticaNeueLT Std" w:cs="Arial"/>
                <w:bCs/>
                <w:sz w:val="20"/>
                <w:szCs w:val="20"/>
                <w:lang w:eastAsia="es-MX"/>
              </w:rPr>
              <w:t>Apoyar a los Ayuntamientos y entidades públicas municipales, para integrar el Anteproyecto y Proyecto de Presupuesto de Egresos Municipal, en cumplimiento a lo dispuesto en los artículos 134 de la Constitución Política de los Estados Unidos Mexicanos; 128 fracción IX y 129 de la Constitución Política del Estado Libre y Soberano de México; 31 fracción XIX, 98, 99, 100 y 101 de la Ley Orgánica Municipal del Estado de México y 285, 290, 293, 294 y 295 del Código Financiero del Estado de México y Municipios.</w:t>
            </w:r>
          </w:p>
          <w:p w14:paraId="5F28AB6D" w14:textId="77777777" w:rsidR="00B63844" w:rsidRDefault="00B63844" w:rsidP="00B63844">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910F035" w14:textId="47214AC3" w:rsidR="00EC76D3" w:rsidRDefault="00EC76D3" w:rsidP="006B2330">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B63844">
              <w:rPr>
                <w:rFonts w:ascii="HelveticaNeueLT Std" w:hAnsi="HelveticaNeueLT Std" w:cs="Arial"/>
                <w:bCs/>
                <w:sz w:val="20"/>
                <w:szCs w:val="20"/>
                <w:lang w:eastAsia="es-MX"/>
              </w:rPr>
              <w:t>El Manual fue revisado, actualizado y aprobado por los Ayuntamientos que participaron en el seno del Sistema de Coordinación Hacendaría del Estado de México, es aplicable para las Dependencias Generales, Auxiliares y Organismos; bajo la linealidad citada, esta herramienta hace posible el análisis y establecimiento de las prioridades del gobierno municipal bajo un principio de anualidad, con la responsabilidad de cumplir con los objetivos establecidos en el Plan de Desarrollo Municipal vigente, la asignación de recursos públicos está orientada hacia resultados, convirtiendo al presupuesto en el instrumento fundamental para apuntalar la generación de valor público en el ámbito municipal.</w:t>
            </w:r>
          </w:p>
          <w:p w14:paraId="0B3DABB6" w14:textId="77777777" w:rsidR="00B63844" w:rsidRPr="00B63844" w:rsidRDefault="00B63844" w:rsidP="00B63844">
            <w:pPr>
              <w:pStyle w:val="Prrafodelista"/>
              <w:rPr>
                <w:rFonts w:ascii="HelveticaNeueLT Std" w:hAnsi="HelveticaNeueLT Std" w:cs="Arial"/>
                <w:bCs/>
                <w:sz w:val="20"/>
                <w:szCs w:val="20"/>
                <w:lang w:eastAsia="es-MX"/>
              </w:rPr>
            </w:pPr>
          </w:p>
          <w:p w14:paraId="6580D50F" w14:textId="2C5F5984" w:rsidR="007C2446" w:rsidRDefault="007C2446" w:rsidP="006B2330">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7C2446">
              <w:rPr>
                <w:rFonts w:ascii="HelveticaNeueLT Std" w:hAnsi="HelveticaNeueLT Std" w:cs="Arial"/>
                <w:bCs/>
                <w:sz w:val="20"/>
                <w:szCs w:val="20"/>
                <w:lang w:eastAsia="es-MX"/>
              </w:rPr>
              <w:t>Apuntalar la integración del Presupuesto Municipal, con una orientación de Presupuesto basado en Resultados (</w:t>
            </w:r>
            <w:proofErr w:type="spellStart"/>
            <w:r w:rsidRPr="007C2446">
              <w:rPr>
                <w:rFonts w:ascii="HelveticaNeueLT Std" w:hAnsi="HelveticaNeueLT Std" w:cs="Arial"/>
                <w:bCs/>
                <w:sz w:val="20"/>
                <w:szCs w:val="20"/>
                <w:lang w:eastAsia="es-MX"/>
              </w:rPr>
              <w:t>PbR</w:t>
            </w:r>
            <w:proofErr w:type="spellEnd"/>
            <w:r w:rsidRPr="007C2446">
              <w:rPr>
                <w:rFonts w:ascii="HelveticaNeueLT Std" w:hAnsi="HelveticaNeueLT Std" w:cs="Arial"/>
                <w:bCs/>
                <w:sz w:val="20"/>
                <w:szCs w:val="20"/>
                <w:lang w:eastAsia="es-MX"/>
              </w:rPr>
              <w:t xml:space="preserve">), que permita generar valor público. </w:t>
            </w:r>
          </w:p>
          <w:p w14:paraId="68F87F53" w14:textId="77777777" w:rsidR="00EC76D3" w:rsidRPr="00EC76D3" w:rsidRDefault="00EC76D3" w:rsidP="00EC76D3">
            <w:pPr>
              <w:pStyle w:val="Prrafodelista"/>
              <w:rPr>
                <w:rFonts w:ascii="HelveticaNeueLT Std" w:hAnsi="HelveticaNeueLT Std" w:cs="Arial"/>
                <w:bCs/>
                <w:sz w:val="20"/>
                <w:szCs w:val="20"/>
                <w:lang w:eastAsia="es-MX"/>
              </w:rPr>
            </w:pPr>
          </w:p>
          <w:p w14:paraId="7E32B4F4" w14:textId="42A224B6" w:rsidR="007C2446" w:rsidRDefault="007C2446" w:rsidP="006B2330">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7C2446">
              <w:rPr>
                <w:rFonts w:ascii="HelveticaNeueLT Std" w:hAnsi="HelveticaNeueLT Std" w:cs="Arial"/>
                <w:bCs/>
                <w:sz w:val="20"/>
                <w:szCs w:val="20"/>
                <w:lang w:eastAsia="es-MX"/>
              </w:rPr>
              <w:t xml:space="preserve">Dar a conocer la Clasificación Funcional, Programática Municipal (Estructura Programática) del ejercicio fiscal 2023, con el objeto de que el desarrollo de las ocupaciones gubernamentales se clasifique, integre y opere, identificando el propósito que tendrá el presupuesto que ejercerán las Dependencias Generales, Auxiliares y los Organismos Municipales, garantizando que la orientación de los recursos mantenga congruencia con lo establecido en el Plan de Desarrollo Municipal vigente. </w:t>
            </w:r>
          </w:p>
          <w:p w14:paraId="47C66465" w14:textId="799894ED" w:rsidR="006F1BFA" w:rsidRPr="006F1BFA" w:rsidRDefault="006F1BFA" w:rsidP="006F1BFA">
            <w:pPr>
              <w:autoSpaceDE w:val="0"/>
              <w:autoSpaceDN w:val="0"/>
              <w:adjustRightInd w:val="0"/>
              <w:spacing w:line="276" w:lineRule="auto"/>
              <w:jc w:val="both"/>
              <w:rPr>
                <w:rFonts w:ascii="HelveticaNeueLT Std" w:hAnsi="HelveticaNeueLT Std" w:cs="Arial"/>
                <w:bCs/>
                <w:sz w:val="20"/>
                <w:szCs w:val="20"/>
                <w:lang w:eastAsia="es-MX"/>
              </w:rPr>
            </w:pPr>
          </w:p>
        </w:tc>
      </w:tr>
      <w:tr w:rsidR="00731765" w:rsidRPr="009E299E" w14:paraId="37BB5982" w14:textId="77777777" w:rsidTr="002F111A">
        <w:trPr>
          <w:trHeight w:val="117"/>
          <w:jc w:val="center"/>
        </w:trPr>
        <w:tc>
          <w:tcPr>
            <w:tcW w:w="567" w:type="dxa"/>
            <w:tcBorders>
              <w:top w:val="single" w:sz="4" w:space="0" w:color="auto"/>
              <w:bottom w:val="single" w:sz="4" w:space="0" w:color="auto"/>
            </w:tcBorders>
          </w:tcPr>
          <w:p w14:paraId="63BBF852" w14:textId="77777777" w:rsidR="00731765" w:rsidRDefault="0073176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D323FF9"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BCD19A9" w14:textId="77777777" w:rsidR="00731765" w:rsidRDefault="00731765" w:rsidP="00117376">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637AE22" w14:textId="77777777" w:rsidR="00731765" w:rsidRDefault="00731765" w:rsidP="00731765">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7C2446">
              <w:rPr>
                <w:rFonts w:ascii="HelveticaNeueLT Std" w:hAnsi="HelveticaNeueLT Std" w:cs="Arial"/>
                <w:bCs/>
                <w:sz w:val="20"/>
                <w:szCs w:val="20"/>
                <w:lang w:eastAsia="es-MX"/>
              </w:rPr>
              <w:t xml:space="preserve">Hacer eficiente, eficaz y transparente el proceso de asignación de los recursos presupuestarios. </w:t>
            </w:r>
          </w:p>
          <w:p w14:paraId="11201B62" w14:textId="77777777" w:rsidR="00731765" w:rsidRPr="00B63844" w:rsidRDefault="00731765" w:rsidP="00731765">
            <w:pPr>
              <w:pStyle w:val="Prrafodelista"/>
              <w:rPr>
                <w:rFonts w:ascii="HelveticaNeueLT Std" w:hAnsi="HelveticaNeueLT Std" w:cs="Arial"/>
                <w:bCs/>
                <w:sz w:val="20"/>
                <w:szCs w:val="20"/>
                <w:lang w:eastAsia="es-MX"/>
              </w:rPr>
            </w:pPr>
          </w:p>
          <w:p w14:paraId="17C72797" w14:textId="77777777" w:rsidR="00731765" w:rsidRDefault="00731765" w:rsidP="00731765">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7C2446">
              <w:rPr>
                <w:rFonts w:ascii="HelveticaNeueLT Std" w:hAnsi="HelveticaNeueLT Std" w:cs="Arial"/>
                <w:bCs/>
                <w:sz w:val="20"/>
                <w:szCs w:val="20"/>
                <w:lang w:eastAsia="es-MX"/>
              </w:rPr>
              <w:t>Orientar la programación de metas de actividad y de indicadores hacia resultados concretos, que permitan el seguimiento y evaluación del desempeño a nivel proyecto y Programa presupuestario, dimensionando su congruencia con lo establecido en el Plan de Desarrollo Municipal.</w:t>
            </w:r>
          </w:p>
          <w:p w14:paraId="4E468D0B" w14:textId="77777777" w:rsidR="00731765" w:rsidRPr="00B63844" w:rsidRDefault="00731765" w:rsidP="00731765">
            <w:pPr>
              <w:pStyle w:val="Prrafodelista"/>
              <w:rPr>
                <w:rFonts w:ascii="HelveticaNeueLT Std" w:hAnsi="HelveticaNeueLT Std" w:cs="Arial"/>
                <w:bCs/>
                <w:sz w:val="20"/>
                <w:szCs w:val="20"/>
                <w:lang w:eastAsia="es-MX"/>
              </w:rPr>
            </w:pPr>
          </w:p>
          <w:p w14:paraId="039DB9E3" w14:textId="77777777" w:rsid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4F0F99A" w14:textId="77777777" w:rsidR="00731765" w:rsidRDefault="00731765" w:rsidP="00731765">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E3064A">
              <w:rPr>
                <w:rFonts w:ascii="HelveticaNeueLT Std" w:hAnsi="HelveticaNeueLT Std" w:cs="Arial"/>
                <w:bCs/>
                <w:sz w:val="20"/>
                <w:szCs w:val="20"/>
                <w:lang w:eastAsia="es-MX"/>
              </w:rPr>
              <w:t xml:space="preserve">La estructura del Manual consta de tres capítulos y la parte de anexos, dichos capítulos desglosan en forma temática su contenido y se subdividen en apartados para especificar el tema a tratar. </w:t>
            </w:r>
          </w:p>
          <w:p w14:paraId="3BA4755E" w14:textId="77777777" w:rsid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3064A">
              <w:rPr>
                <w:rFonts w:ascii="HelveticaNeueLT Std" w:hAnsi="HelveticaNeueLT Std" w:cs="Arial"/>
                <w:b/>
                <w:bCs/>
                <w:sz w:val="20"/>
                <w:szCs w:val="20"/>
                <w:lang w:eastAsia="es-MX"/>
              </w:rPr>
              <w:t>En el primer capítulo</w:t>
            </w:r>
            <w:r w:rsidRPr="00E3064A">
              <w:rPr>
                <w:rFonts w:ascii="HelveticaNeueLT Std" w:hAnsi="HelveticaNeueLT Std" w:cs="Arial"/>
                <w:bCs/>
                <w:sz w:val="20"/>
                <w:szCs w:val="20"/>
                <w:lang w:eastAsia="es-MX"/>
              </w:rPr>
              <w:t xml:space="preserve"> se presentan los Aspectos Generales, el cual, muestra el marco legal que da sustento al Presupuesto Municipal basado en Resultados, en el que se especifican los ordenamientos básicos y el marco conceptual. </w:t>
            </w:r>
          </w:p>
          <w:p w14:paraId="2F376A9F" w14:textId="77777777" w:rsid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3064A">
              <w:rPr>
                <w:rFonts w:ascii="HelveticaNeueLT Std" w:hAnsi="HelveticaNeueLT Std" w:cs="Arial"/>
                <w:b/>
                <w:bCs/>
                <w:sz w:val="20"/>
                <w:szCs w:val="20"/>
                <w:lang w:eastAsia="es-MX"/>
              </w:rPr>
              <w:t>En el segundo capítulo</w:t>
            </w:r>
            <w:r w:rsidRPr="00E3064A">
              <w:rPr>
                <w:rFonts w:ascii="HelveticaNeueLT Std" w:hAnsi="HelveticaNeueLT Std" w:cs="Arial"/>
                <w:bCs/>
                <w:sz w:val="20"/>
                <w:szCs w:val="20"/>
                <w:lang w:eastAsia="es-MX"/>
              </w:rPr>
              <w:t xml:space="preserve"> se describe la Clasificación Funcional-Programática Municipal (Estructura Programática) con la que han de operar los Ayuntamientos, misma que se define como un instrumento fundamental para la planeación, programación, elaboración del presupuesto, seguimiento y evaluación del desempeño. La aplicación de los recursos apoya a la identificación y vinculación que el presupuesto tiene con otros elementos de la planeación municipal, como son el Plan de Desarrollo Municipal y el Programa Anual, donde se derivan los componentes de la estructura programática municipal. </w:t>
            </w:r>
          </w:p>
          <w:p w14:paraId="165E38F2" w14:textId="7E1A20A0" w:rsid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3064A">
              <w:rPr>
                <w:rFonts w:ascii="HelveticaNeueLT Std" w:hAnsi="HelveticaNeueLT Std" w:cs="Arial"/>
                <w:b/>
                <w:bCs/>
                <w:sz w:val="20"/>
                <w:szCs w:val="20"/>
                <w:lang w:eastAsia="es-MX"/>
              </w:rPr>
              <w:t>En el tercer capítulo</w:t>
            </w:r>
            <w:r w:rsidRPr="00E3064A">
              <w:rPr>
                <w:rFonts w:ascii="HelveticaNeueLT Std" w:hAnsi="HelveticaNeueLT Std" w:cs="Arial"/>
                <w:bCs/>
                <w:sz w:val="20"/>
                <w:szCs w:val="20"/>
                <w:lang w:eastAsia="es-MX"/>
              </w:rPr>
              <w:t xml:space="preserve"> se describen las tres etapas del presupuesto, detallando </w:t>
            </w:r>
            <w:r w:rsidRPr="00E3064A">
              <w:rPr>
                <w:rFonts w:ascii="HelveticaNeueLT Std" w:hAnsi="HelveticaNeueLT Std" w:cs="Arial"/>
                <w:b/>
                <w:bCs/>
                <w:sz w:val="20"/>
                <w:szCs w:val="20"/>
                <w:lang w:eastAsia="es-MX"/>
              </w:rPr>
              <w:t>en la primera</w:t>
            </w:r>
            <w:r w:rsidRPr="00E3064A">
              <w:rPr>
                <w:rFonts w:ascii="HelveticaNeueLT Std" w:hAnsi="HelveticaNeueLT Std" w:cs="Arial"/>
                <w:bCs/>
                <w:sz w:val="20"/>
                <w:szCs w:val="20"/>
                <w:lang w:eastAsia="es-MX"/>
              </w:rPr>
              <w:t xml:space="preserve">, los lineamientos para la integración del Anteproyecto de Presupuesto de Egresos Municipal, siendo los siguientes: Lineamientos Generales. </w:t>
            </w:r>
            <w:r>
              <w:rPr>
                <w:rFonts w:ascii="HelveticaNeueLT Std" w:hAnsi="HelveticaNeueLT Std" w:cs="Arial"/>
                <w:bCs/>
                <w:sz w:val="20"/>
                <w:szCs w:val="20"/>
                <w:lang w:eastAsia="es-MX"/>
              </w:rPr>
              <w:t xml:space="preserve"> </w:t>
            </w:r>
            <w:r w:rsidRPr="00E3064A">
              <w:rPr>
                <w:rFonts w:ascii="HelveticaNeueLT Std" w:hAnsi="HelveticaNeueLT Std" w:cs="Arial"/>
                <w:bCs/>
                <w:sz w:val="20"/>
                <w:szCs w:val="20"/>
                <w:lang w:eastAsia="es-MX"/>
              </w:rPr>
              <w:t xml:space="preserve">Lineamientos para la </w:t>
            </w:r>
            <w:r>
              <w:rPr>
                <w:rFonts w:ascii="HelveticaNeueLT Std" w:hAnsi="HelveticaNeueLT Std" w:cs="Arial"/>
                <w:bCs/>
                <w:sz w:val="20"/>
                <w:szCs w:val="20"/>
                <w:lang w:eastAsia="es-MX"/>
              </w:rPr>
              <w:t xml:space="preserve">integración del Programa Anual. </w:t>
            </w:r>
            <w:r w:rsidRPr="00E3064A">
              <w:rPr>
                <w:rFonts w:ascii="HelveticaNeueLT Std" w:hAnsi="HelveticaNeueLT Std" w:cs="Arial"/>
                <w:bCs/>
                <w:sz w:val="20"/>
                <w:szCs w:val="20"/>
                <w:lang w:eastAsia="es-MX"/>
              </w:rPr>
              <w:t>Lineamientos para la integración del Presupuesto de Gasto Corriente.</w:t>
            </w:r>
            <w:r>
              <w:rPr>
                <w:rFonts w:ascii="HelveticaNeueLT Std" w:hAnsi="HelveticaNeueLT Std" w:cs="Arial"/>
                <w:bCs/>
                <w:sz w:val="20"/>
                <w:szCs w:val="20"/>
                <w:lang w:eastAsia="es-MX"/>
              </w:rPr>
              <w:t xml:space="preserve"> </w:t>
            </w:r>
            <w:r w:rsidRPr="00E3064A">
              <w:rPr>
                <w:rFonts w:ascii="HelveticaNeueLT Std" w:hAnsi="HelveticaNeueLT Std" w:cs="Arial"/>
                <w:bCs/>
                <w:sz w:val="20"/>
                <w:szCs w:val="20"/>
                <w:lang w:eastAsia="es-MX"/>
              </w:rPr>
              <w:t>Lineamientos para la integración del Presupuesto de Gasto de Inversión.</w:t>
            </w:r>
            <w:r>
              <w:rPr>
                <w:rFonts w:ascii="HelveticaNeueLT Std" w:hAnsi="HelveticaNeueLT Std" w:cs="Arial"/>
                <w:bCs/>
                <w:sz w:val="20"/>
                <w:szCs w:val="20"/>
                <w:lang w:eastAsia="es-MX"/>
              </w:rPr>
              <w:t xml:space="preserve"> </w:t>
            </w:r>
            <w:r w:rsidRPr="00E3064A">
              <w:rPr>
                <w:rFonts w:ascii="HelveticaNeueLT Std" w:hAnsi="HelveticaNeueLT Std" w:cs="Arial"/>
                <w:bCs/>
                <w:sz w:val="20"/>
                <w:szCs w:val="20"/>
                <w:lang w:eastAsia="es-MX"/>
              </w:rPr>
              <w:t>Lineamientos para el prorrateo de recursos presupuestarios.</w:t>
            </w:r>
            <w:r>
              <w:rPr>
                <w:rFonts w:ascii="HelveticaNeueLT Std" w:hAnsi="HelveticaNeueLT Std" w:cs="Arial"/>
                <w:bCs/>
                <w:sz w:val="20"/>
                <w:szCs w:val="20"/>
                <w:lang w:eastAsia="es-MX"/>
              </w:rPr>
              <w:t xml:space="preserve"> </w:t>
            </w:r>
            <w:r w:rsidRPr="00E3064A">
              <w:rPr>
                <w:rFonts w:ascii="HelveticaNeueLT Std" w:hAnsi="HelveticaNeueLT Std" w:cs="Arial"/>
                <w:bCs/>
                <w:sz w:val="20"/>
                <w:szCs w:val="20"/>
                <w:lang w:eastAsia="es-MX"/>
              </w:rPr>
              <w:t xml:space="preserve">Lineamientos generales para la definición de indicadores y metas para evaluar el desempeño. Formatos que integran el Anteproyecto de Presupuesto de Egresos Municipal. </w:t>
            </w:r>
            <w:r w:rsidRPr="00E3064A">
              <w:rPr>
                <w:rFonts w:ascii="HelveticaNeueLT Std" w:hAnsi="HelveticaNeueLT Std" w:cs="Arial"/>
                <w:b/>
                <w:bCs/>
                <w:sz w:val="20"/>
                <w:szCs w:val="20"/>
                <w:lang w:eastAsia="es-MX"/>
              </w:rPr>
              <w:t>La segunda</w:t>
            </w:r>
          </w:p>
        </w:tc>
      </w:tr>
      <w:tr w:rsidR="00731765" w:rsidRPr="009E299E" w14:paraId="3FB6094C" w14:textId="77777777" w:rsidTr="002F111A">
        <w:trPr>
          <w:trHeight w:val="117"/>
          <w:jc w:val="center"/>
        </w:trPr>
        <w:tc>
          <w:tcPr>
            <w:tcW w:w="567" w:type="dxa"/>
            <w:tcBorders>
              <w:top w:val="single" w:sz="4" w:space="0" w:color="auto"/>
              <w:bottom w:val="nil"/>
            </w:tcBorders>
          </w:tcPr>
          <w:p w14:paraId="20840C62" w14:textId="77777777" w:rsidR="00731765" w:rsidRDefault="00731765" w:rsidP="00B60377">
            <w:pPr>
              <w:spacing w:line="276" w:lineRule="auto"/>
              <w:jc w:val="center"/>
              <w:rPr>
                <w:rFonts w:ascii="HelveticaNeueLT Std" w:hAnsi="HelveticaNeueLT Std" w:cs="Arial"/>
                <w:b/>
                <w:bCs/>
                <w:sz w:val="20"/>
                <w:szCs w:val="20"/>
              </w:rPr>
            </w:pPr>
            <w:bookmarkStart w:id="0" w:name="_GoBack"/>
          </w:p>
        </w:tc>
        <w:tc>
          <w:tcPr>
            <w:tcW w:w="2410" w:type="dxa"/>
            <w:tcBorders>
              <w:top w:val="single" w:sz="4" w:space="0" w:color="auto"/>
              <w:bottom w:val="nil"/>
            </w:tcBorders>
          </w:tcPr>
          <w:p w14:paraId="04DBD795"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00EA29A7" w14:textId="77777777" w:rsidR="00731765" w:rsidRDefault="00731765" w:rsidP="00117376">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324C99D3" w14:textId="436072EC" w:rsidR="00731765" w:rsidRP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731765">
              <w:rPr>
                <w:rFonts w:ascii="HelveticaNeueLT Std" w:hAnsi="HelveticaNeueLT Std" w:cs="Arial"/>
                <w:bCs/>
                <w:sz w:val="20"/>
                <w:szCs w:val="20"/>
                <w:lang w:eastAsia="es-MX"/>
              </w:rPr>
              <w:t xml:space="preserve">etapa corresponde a los lineamientos y formatos que integran el Proyecto de Presupuesto de Egresos y la </w:t>
            </w:r>
            <w:r w:rsidRPr="00731765">
              <w:rPr>
                <w:rFonts w:ascii="HelveticaNeueLT Std" w:hAnsi="HelveticaNeueLT Std" w:cs="Arial"/>
                <w:b/>
                <w:bCs/>
                <w:sz w:val="20"/>
                <w:szCs w:val="20"/>
                <w:lang w:eastAsia="es-MX"/>
              </w:rPr>
              <w:t>tercera etapa</w:t>
            </w:r>
            <w:r w:rsidRPr="00731765">
              <w:rPr>
                <w:rFonts w:ascii="HelveticaNeueLT Std" w:hAnsi="HelveticaNeueLT Std" w:cs="Arial"/>
                <w:bCs/>
                <w:sz w:val="20"/>
                <w:szCs w:val="20"/>
                <w:lang w:eastAsia="es-MX"/>
              </w:rPr>
              <w:t xml:space="preserve"> de este capítulo establece los lineamientos y formatos que integran el Presupuesto de Egresos Municipal.</w:t>
            </w:r>
          </w:p>
        </w:tc>
      </w:tr>
      <w:bookmarkEnd w:id="0"/>
      <w:tr w:rsidR="005F12FD" w:rsidRPr="009E299E" w14:paraId="56612095" w14:textId="77777777" w:rsidTr="002F111A">
        <w:trPr>
          <w:trHeight w:val="117"/>
          <w:jc w:val="center"/>
        </w:trPr>
        <w:tc>
          <w:tcPr>
            <w:tcW w:w="567" w:type="dxa"/>
            <w:tcBorders>
              <w:top w:val="nil"/>
              <w:bottom w:val="single" w:sz="4" w:space="0" w:color="auto"/>
            </w:tcBorders>
          </w:tcPr>
          <w:p w14:paraId="2F75CA60" w14:textId="77777777" w:rsidR="005F12FD" w:rsidRDefault="005F12FD"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54E19426" w14:textId="77777777" w:rsidR="005F12FD" w:rsidRDefault="005F12FD" w:rsidP="00A84D2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67D8879D" w14:textId="4E919D1A" w:rsidR="007A62F7" w:rsidRDefault="006821BC" w:rsidP="00432A8C">
            <w:pPr>
              <w:spacing w:before="225" w:after="225" w:line="276" w:lineRule="auto"/>
              <w:jc w:val="both"/>
              <w:rPr>
                <w:rFonts w:ascii="HelveticaNeueLT Std" w:hAnsi="HelveticaNeueLT Std" w:cs="Arial"/>
                <w:b/>
                <w:bCs/>
                <w:sz w:val="20"/>
                <w:szCs w:val="20"/>
              </w:rPr>
            </w:pPr>
            <w:hyperlink r:id="rId11" w:tgtFrame="_blank" w:history="1">
              <w:r w:rsidR="007A62F7" w:rsidRPr="007A62F7">
                <w:rPr>
                  <w:rFonts w:ascii="HelveticaNeueLT Std" w:hAnsi="HelveticaNeueLT Std" w:cs="Arial"/>
                  <w:b/>
                  <w:bCs/>
                  <w:sz w:val="20"/>
                  <w:szCs w:val="20"/>
                </w:rPr>
                <w:t>Guía metodológica para el seguimiento y evaluación del plan de desarrollo municipal vigente.</w:t>
              </w:r>
            </w:hyperlink>
          </w:p>
          <w:p w14:paraId="2144B361" w14:textId="77777777" w:rsidR="007A62F7" w:rsidRDefault="007A62F7" w:rsidP="007A62F7">
            <w:pPr>
              <w:spacing w:before="225" w:after="225" w:line="276" w:lineRule="auto"/>
              <w:jc w:val="center"/>
              <w:rPr>
                <w:rFonts w:ascii="HelveticaNeueLT Std" w:hAnsi="HelveticaNeueLT Std" w:cs="Arial"/>
                <w:b/>
                <w:bCs/>
                <w:sz w:val="20"/>
                <w:szCs w:val="20"/>
              </w:rPr>
            </w:pPr>
          </w:p>
          <w:p w14:paraId="6CFD5663" w14:textId="1980F339" w:rsidR="005F12FD" w:rsidRPr="006E5F24" w:rsidRDefault="005F12FD" w:rsidP="007A62F7">
            <w:pPr>
              <w:spacing w:before="225" w:after="225" w:line="276" w:lineRule="auto"/>
              <w:jc w:val="center"/>
              <w:rPr>
                <w:rFonts w:ascii="HelveticaNeueLT Std" w:hAnsi="HelveticaNeueLT Std" w:cs="Arial"/>
                <w:b/>
                <w:bCs/>
                <w:sz w:val="20"/>
                <w:szCs w:val="20"/>
              </w:rPr>
            </w:pPr>
          </w:p>
        </w:tc>
        <w:tc>
          <w:tcPr>
            <w:tcW w:w="7938" w:type="dxa"/>
            <w:tcBorders>
              <w:top w:val="nil"/>
              <w:bottom w:val="single" w:sz="4" w:space="0" w:color="auto"/>
            </w:tcBorders>
          </w:tcPr>
          <w:p w14:paraId="684E8F15" w14:textId="77777777" w:rsidR="00286077" w:rsidRDefault="00286077" w:rsidP="00B63844">
            <w:pPr>
              <w:autoSpaceDE w:val="0"/>
              <w:autoSpaceDN w:val="0"/>
              <w:adjustRightInd w:val="0"/>
              <w:spacing w:line="276" w:lineRule="auto"/>
              <w:jc w:val="both"/>
              <w:rPr>
                <w:rFonts w:ascii="HelveticaNeueLT Std" w:hAnsi="HelveticaNeueLT Std" w:cs="Arial"/>
                <w:bCs/>
                <w:sz w:val="20"/>
                <w:szCs w:val="20"/>
                <w:lang w:eastAsia="es-MX"/>
              </w:rPr>
            </w:pPr>
          </w:p>
          <w:p w14:paraId="74CD42A0" w14:textId="67BA9F3D" w:rsidR="00B63844" w:rsidRDefault="00EA79C8" w:rsidP="00B6384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w:t>
            </w:r>
            <w:r w:rsidR="00B63844">
              <w:rPr>
                <w:rFonts w:ascii="HelveticaNeueLT Std" w:hAnsi="HelveticaNeueLT Std" w:cs="Arial"/>
                <w:bCs/>
                <w:sz w:val="20"/>
                <w:szCs w:val="20"/>
                <w:lang w:eastAsia="es-MX"/>
              </w:rPr>
              <w:t xml:space="preserve">a presente Guía </w:t>
            </w:r>
            <w:r w:rsidR="00E930BA">
              <w:rPr>
                <w:rFonts w:ascii="HelveticaNeueLT Std" w:hAnsi="HelveticaNeueLT Std" w:cs="Arial"/>
                <w:bCs/>
                <w:sz w:val="20"/>
                <w:szCs w:val="20"/>
                <w:lang w:eastAsia="es-MX"/>
              </w:rPr>
              <w:t xml:space="preserve">tiene como propósito: </w:t>
            </w:r>
          </w:p>
          <w:p w14:paraId="7D7BDBAC" w14:textId="3F12E6F5" w:rsidR="00EA79C8" w:rsidRDefault="00EA79C8" w:rsidP="00B63844">
            <w:pPr>
              <w:autoSpaceDE w:val="0"/>
              <w:autoSpaceDN w:val="0"/>
              <w:adjustRightInd w:val="0"/>
              <w:spacing w:line="276" w:lineRule="auto"/>
              <w:jc w:val="both"/>
              <w:rPr>
                <w:rFonts w:ascii="HelveticaNeueLT Std" w:hAnsi="HelveticaNeueLT Std" w:cs="Arial"/>
                <w:bCs/>
                <w:sz w:val="20"/>
                <w:szCs w:val="20"/>
                <w:lang w:eastAsia="es-MX"/>
              </w:rPr>
            </w:pPr>
          </w:p>
          <w:p w14:paraId="53330F68" w14:textId="33295387" w:rsidR="00727CD4" w:rsidRDefault="00727CD4" w:rsidP="00B63844">
            <w:pPr>
              <w:autoSpaceDE w:val="0"/>
              <w:autoSpaceDN w:val="0"/>
              <w:adjustRightInd w:val="0"/>
              <w:spacing w:line="276" w:lineRule="auto"/>
              <w:jc w:val="both"/>
              <w:rPr>
                <w:rFonts w:ascii="HelveticaNeueLT Std" w:hAnsi="HelveticaNeueLT Std" w:cs="Arial"/>
                <w:bCs/>
                <w:sz w:val="20"/>
                <w:szCs w:val="20"/>
                <w:lang w:eastAsia="es-MX"/>
              </w:rPr>
            </w:pPr>
          </w:p>
          <w:p w14:paraId="53762DCB" w14:textId="77777777" w:rsidR="00727CD4" w:rsidRDefault="00727CD4" w:rsidP="00B63844">
            <w:pPr>
              <w:autoSpaceDE w:val="0"/>
              <w:autoSpaceDN w:val="0"/>
              <w:adjustRightInd w:val="0"/>
              <w:spacing w:line="276" w:lineRule="auto"/>
              <w:jc w:val="both"/>
              <w:rPr>
                <w:rFonts w:ascii="HelveticaNeueLT Std" w:hAnsi="HelveticaNeueLT Std" w:cs="Arial"/>
                <w:bCs/>
                <w:sz w:val="20"/>
                <w:szCs w:val="20"/>
                <w:lang w:eastAsia="es-MX"/>
              </w:rPr>
            </w:pPr>
          </w:p>
          <w:p w14:paraId="5AEABD84" w14:textId="3B1C31D2" w:rsidR="00EA79C8" w:rsidRDefault="00727CD4" w:rsidP="006B2330">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w:t>
            </w:r>
            <w:r w:rsidR="00EA79C8" w:rsidRPr="00EA79C8">
              <w:rPr>
                <w:rFonts w:ascii="HelveticaNeueLT Std" w:hAnsi="HelveticaNeueLT Std" w:cs="Arial"/>
                <w:bCs/>
                <w:sz w:val="20"/>
                <w:szCs w:val="20"/>
                <w:lang w:eastAsia="es-MX"/>
              </w:rPr>
              <w:t>poyo a las administraciones públicas municipales, para facilitar el cumplimiento de la normatividad en el proceso de evaluación y seguimiento del Plan de Desarrollo Municipal (PDM) vigente, los programas anuales y el presupuesto de los Ayuntamientos de la entidad, así como establecer criterios que logren homologar los reportes e informes; asimismo, permite identificar los resultados en el cumplimiento de los objetivos y metas establecidas en el PDM y el Programa Anual, para valorar la ejecución de las acciones e identificar el impacto, producto o beneficio a la población.</w:t>
            </w:r>
          </w:p>
          <w:p w14:paraId="37C64C2F" w14:textId="77777777" w:rsidR="00EA79C8" w:rsidRDefault="00EA79C8" w:rsidP="00EA79C8">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CEF0DB1" w14:textId="1D4AAFFE" w:rsidR="00EA79C8" w:rsidRDefault="00EA79C8" w:rsidP="006B2330">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EA79C8">
              <w:rPr>
                <w:rFonts w:ascii="HelveticaNeueLT Std" w:hAnsi="HelveticaNeueLT Std" w:cs="Arial"/>
                <w:bCs/>
                <w:sz w:val="20"/>
                <w:szCs w:val="20"/>
                <w:lang w:eastAsia="es-MX"/>
              </w:rPr>
              <w:t>El documento es producto de la colaboración de los tesoreros municipales de los 125 ayuntamientos en las siete Regiones Hacendarias, que participan dentro de la Comisión Temática de Planeación, Programación, Presupuestación, Contabilidad Gubernamental y Evaluación Municipal, convocada por el Instituto Hacendario del Estado de México (IHAEM), en la que se dan a conocer y se definen los procedimientos y actividades que habrán de realizarse para llevar a cabo la evaluación, considerando un enfoque integral que identifique los resultados y el cumplimiento de los compromisos asumidos con los diferentes sectores de la sociedad.</w:t>
            </w:r>
          </w:p>
          <w:p w14:paraId="554E6C67" w14:textId="77777777" w:rsidR="00EA79C8" w:rsidRPr="00EA79C8" w:rsidRDefault="00EA79C8" w:rsidP="00EA79C8">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35F52A4" w14:textId="65FDE700" w:rsidR="00D0228F" w:rsidRDefault="00EA79C8" w:rsidP="00731765">
            <w:pPr>
              <w:pStyle w:val="Prrafodelista"/>
              <w:numPr>
                <w:ilvl w:val="0"/>
                <w:numId w:val="5"/>
              </w:numPr>
              <w:autoSpaceDE w:val="0"/>
              <w:autoSpaceDN w:val="0"/>
              <w:adjustRightInd w:val="0"/>
              <w:spacing w:line="276" w:lineRule="auto"/>
              <w:jc w:val="both"/>
              <w:rPr>
                <w:rFonts w:ascii="HelveticaNeueLT Std" w:hAnsi="HelveticaNeueLT Std" w:cs="Arial"/>
                <w:bCs/>
                <w:sz w:val="20"/>
                <w:szCs w:val="20"/>
                <w:lang w:eastAsia="es-MX"/>
              </w:rPr>
            </w:pPr>
            <w:r w:rsidRPr="006E2F1B">
              <w:rPr>
                <w:rFonts w:ascii="HelveticaNeueLT Std" w:hAnsi="HelveticaNeueLT Std" w:cs="Arial"/>
                <w:bCs/>
                <w:sz w:val="20"/>
                <w:szCs w:val="20"/>
                <w:lang w:eastAsia="es-MX"/>
              </w:rPr>
              <w:t xml:space="preserve">La Gestión para Resultados es una herramienta que favorece el cumplimiento de los objetivos y las metas, así como de generar los elementos a través del seguimiento y verificación del uso eficiente de los recursos que se administran, para la toma de decisiones, de igual forma para evaluar el cumplimiento de los compromisos contraídos ante la ciudadanía y queda establecida como una </w:t>
            </w:r>
          </w:p>
          <w:p w14:paraId="4DE7F2F9" w14:textId="77777777" w:rsidR="005F12FD" w:rsidRDefault="005F12FD" w:rsidP="00B96F04">
            <w:pPr>
              <w:autoSpaceDE w:val="0"/>
              <w:autoSpaceDN w:val="0"/>
              <w:adjustRightInd w:val="0"/>
              <w:spacing w:line="276" w:lineRule="auto"/>
              <w:jc w:val="both"/>
              <w:rPr>
                <w:rFonts w:ascii="HelveticaNeueLT Std" w:hAnsi="HelveticaNeueLT Std" w:cs="Arial"/>
                <w:bCs/>
                <w:sz w:val="20"/>
                <w:szCs w:val="20"/>
                <w:lang w:eastAsia="es-MX"/>
              </w:rPr>
            </w:pPr>
          </w:p>
        </w:tc>
      </w:tr>
      <w:tr w:rsidR="00731765" w:rsidRPr="009E299E" w14:paraId="63AC2BE7" w14:textId="77777777" w:rsidTr="00731765">
        <w:trPr>
          <w:trHeight w:val="117"/>
          <w:jc w:val="center"/>
        </w:trPr>
        <w:tc>
          <w:tcPr>
            <w:tcW w:w="567" w:type="dxa"/>
            <w:tcBorders>
              <w:top w:val="nil"/>
              <w:bottom w:val="single" w:sz="4" w:space="0" w:color="auto"/>
            </w:tcBorders>
          </w:tcPr>
          <w:p w14:paraId="2EEE7A2F" w14:textId="77777777" w:rsidR="00731765" w:rsidRDefault="00731765"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0DD22A41"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52ABB689" w14:textId="77777777" w:rsidR="00731765" w:rsidRDefault="00731765" w:rsidP="00432A8C">
            <w:pPr>
              <w:spacing w:before="225" w:after="225" w:line="276" w:lineRule="auto"/>
              <w:jc w:val="both"/>
            </w:pPr>
          </w:p>
        </w:tc>
        <w:tc>
          <w:tcPr>
            <w:tcW w:w="7938" w:type="dxa"/>
            <w:tcBorders>
              <w:top w:val="nil"/>
              <w:bottom w:val="single" w:sz="4" w:space="0" w:color="auto"/>
            </w:tcBorders>
          </w:tcPr>
          <w:p w14:paraId="1504C8EC" w14:textId="77777777" w:rsidR="00731765" w:rsidRDefault="00731765" w:rsidP="00731765">
            <w:pPr>
              <w:pStyle w:val="Prrafodelista"/>
              <w:numPr>
                <w:ilvl w:val="0"/>
                <w:numId w:val="5"/>
              </w:numPr>
              <w:autoSpaceDE w:val="0"/>
              <w:autoSpaceDN w:val="0"/>
              <w:adjustRightInd w:val="0"/>
              <w:spacing w:line="276" w:lineRule="auto"/>
              <w:jc w:val="both"/>
              <w:rPr>
                <w:rFonts w:ascii="HelveticaNeueLT Std" w:hAnsi="HelveticaNeueLT Std" w:cs="Arial"/>
                <w:bCs/>
                <w:sz w:val="20"/>
                <w:szCs w:val="20"/>
                <w:lang w:eastAsia="es-MX"/>
              </w:rPr>
            </w:pPr>
            <w:r w:rsidRPr="006E2F1B">
              <w:rPr>
                <w:rFonts w:ascii="HelveticaNeueLT Std" w:hAnsi="HelveticaNeueLT Std" w:cs="Arial"/>
                <w:bCs/>
                <w:sz w:val="20"/>
                <w:szCs w:val="20"/>
                <w:lang w:eastAsia="es-MX"/>
              </w:rPr>
              <w:t>disposición legal en el marco normativo del Sistema de Planeación Democrática para el Desarrollo del Estado de México y Municipios.</w:t>
            </w:r>
          </w:p>
          <w:p w14:paraId="739CB9BB" w14:textId="77777777" w:rsidR="00731765"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E8E3D62" w14:textId="77777777" w:rsidR="00731765" w:rsidRDefault="00731765" w:rsidP="00731765">
            <w:pPr>
              <w:pStyle w:val="Prrafodelista"/>
              <w:numPr>
                <w:ilvl w:val="0"/>
                <w:numId w:val="5"/>
              </w:numPr>
              <w:autoSpaceDE w:val="0"/>
              <w:autoSpaceDN w:val="0"/>
              <w:adjustRightInd w:val="0"/>
              <w:spacing w:line="276" w:lineRule="auto"/>
              <w:jc w:val="both"/>
              <w:rPr>
                <w:rFonts w:ascii="HelveticaNeueLT Std" w:hAnsi="HelveticaNeueLT Std" w:cs="Arial"/>
                <w:bCs/>
                <w:sz w:val="20"/>
                <w:szCs w:val="20"/>
                <w:lang w:eastAsia="es-MX"/>
              </w:rPr>
            </w:pPr>
            <w:r w:rsidRPr="006E2F1B">
              <w:rPr>
                <w:rFonts w:ascii="HelveticaNeueLT Std" w:hAnsi="HelveticaNeueLT Std" w:cs="Arial"/>
                <w:bCs/>
                <w:sz w:val="20"/>
                <w:szCs w:val="20"/>
                <w:lang w:eastAsia="es-MX"/>
              </w:rPr>
              <w:t xml:space="preserve">La presente guía contiene un enfoque específico para llevar a cabo el seguimiento y evaluación del Plan de Desarrollo Municipal vigente, sus programas, y la aplicación de su presupuesto, </w:t>
            </w:r>
            <w:proofErr w:type="gramStart"/>
            <w:r w:rsidRPr="006E2F1B">
              <w:rPr>
                <w:rFonts w:ascii="HelveticaNeueLT Std" w:hAnsi="HelveticaNeueLT Std" w:cs="Arial"/>
                <w:bCs/>
                <w:sz w:val="20"/>
                <w:szCs w:val="20"/>
                <w:lang w:eastAsia="es-MX"/>
              </w:rPr>
              <w:t>contempla</w:t>
            </w:r>
            <w:proofErr w:type="gramEnd"/>
            <w:r w:rsidRPr="006E2F1B">
              <w:rPr>
                <w:rFonts w:ascii="HelveticaNeueLT Std" w:hAnsi="HelveticaNeueLT Std" w:cs="Arial"/>
                <w:bCs/>
                <w:sz w:val="20"/>
                <w:szCs w:val="20"/>
                <w:lang w:eastAsia="es-MX"/>
              </w:rPr>
              <w:t xml:space="preserve"> además, la implantación de instrumentos que ayudarán a la generación de información que permita evidenciar el cumplimiento de objetivos y el resultado del alcance de metas.</w:t>
            </w:r>
          </w:p>
          <w:p w14:paraId="11D5BB96" w14:textId="77777777" w:rsidR="00731765" w:rsidRPr="006E2F1B" w:rsidRDefault="00731765" w:rsidP="00731765">
            <w:pPr>
              <w:pStyle w:val="Prrafodelista"/>
              <w:rPr>
                <w:rFonts w:ascii="HelveticaNeueLT Std" w:hAnsi="HelveticaNeueLT Std" w:cs="Arial"/>
                <w:bCs/>
                <w:sz w:val="20"/>
                <w:szCs w:val="20"/>
                <w:lang w:eastAsia="es-MX"/>
              </w:rPr>
            </w:pPr>
          </w:p>
          <w:p w14:paraId="4F8A1AF2" w14:textId="77777777" w:rsidR="00731765" w:rsidRDefault="00731765" w:rsidP="00731765">
            <w:pPr>
              <w:pStyle w:val="Prrafodelista"/>
              <w:numPr>
                <w:ilvl w:val="0"/>
                <w:numId w:val="5"/>
              </w:numPr>
              <w:autoSpaceDE w:val="0"/>
              <w:autoSpaceDN w:val="0"/>
              <w:adjustRightInd w:val="0"/>
              <w:spacing w:line="276" w:lineRule="auto"/>
              <w:jc w:val="both"/>
              <w:rPr>
                <w:rFonts w:ascii="HelveticaNeueLT Std" w:hAnsi="HelveticaNeueLT Std" w:cs="Arial"/>
                <w:bCs/>
                <w:sz w:val="20"/>
                <w:szCs w:val="20"/>
                <w:lang w:eastAsia="es-MX"/>
              </w:rPr>
            </w:pPr>
            <w:r w:rsidRPr="00940701">
              <w:rPr>
                <w:rFonts w:ascii="HelveticaNeueLT Std" w:hAnsi="HelveticaNeueLT Std" w:cs="Arial"/>
                <w:bCs/>
                <w:sz w:val="20"/>
                <w:szCs w:val="20"/>
                <w:lang w:eastAsia="es-MX"/>
              </w:rPr>
              <w:t xml:space="preserve">El documento está dividido en tres capítulos. </w:t>
            </w:r>
          </w:p>
          <w:p w14:paraId="00388B43" w14:textId="77777777" w:rsidR="00731765" w:rsidRPr="00727CD4" w:rsidRDefault="00731765" w:rsidP="00731765">
            <w:pPr>
              <w:pStyle w:val="Prrafodelista"/>
              <w:rPr>
                <w:rFonts w:ascii="HelveticaNeueLT Std" w:hAnsi="HelveticaNeueLT Std" w:cs="Arial"/>
                <w:bCs/>
                <w:sz w:val="20"/>
                <w:szCs w:val="20"/>
                <w:lang w:eastAsia="es-MX"/>
              </w:rPr>
            </w:pPr>
          </w:p>
          <w:p w14:paraId="1443388C" w14:textId="77777777" w:rsidR="00731765" w:rsidRPr="00940701"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40701">
              <w:rPr>
                <w:rFonts w:ascii="HelveticaNeueLT Std" w:hAnsi="HelveticaNeueLT Std" w:cs="Arial"/>
                <w:b/>
                <w:bCs/>
                <w:sz w:val="20"/>
                <w:szCs w:val="20"/>
                <w:lang w:eastAsia="es-MX"/>
              </w:rPr>
              <w:t>En el capítulo 1</w:t>
            </w:r>
            <w:r w:rsidRPr="00940701">
              <w:rPr>
                <w:rFonts w:ascii="HelveticaNeueLT Std" w:hAnsi="HelveticaNeueLT Std" w:cs="Arial"/>
                <w:bCs/>
                <w:sz w:val="20"/>
                <w:szCs w:val="20"/>
                <w:lang w:eastAsia="es-MX"/>
              </w:rPr>
              <w:t xml:space="preserve">, se describe el marco conceptual de la evaluación y la importancia de su ejercicio en el ámbito de la administración pública municipal. Asimismo, se enuncian las bases jurídicas que norman y regulan este proceso y en forma específica, el porqué de la acción de informar trimestral y anualmente sobre los resultados y las acciones realizadas durante el ejercicio. </w:t>
            </w:r>
          </w:p>
          <w:p w14:paraId="71DD16F8" w14:textId="77777777" w:rsidR="00731765" w:rsidRPr="00940701"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40701">
              <w:rPr>
                <w:rFonts w:ascii="HelveticaNeueLT Std" w:hAnsi="HelveticaNeueLT Std" w:cs="Arial"/>
                <w:b/>
                <w:bCs/>
                <w:sz w:val="20"/>
                <w:szCs w:val="20"/>
                <w:lang w:eastAsia="es-MX"/>
              </w:rPr>
              <w:t>En el capítulo 2,</w:t>
            </w:r>
            <w:r w:rsidRPr="00940701">
              <w:rPr>
                <w:rFonts w:ascii="HelveticaNeueLT Std" w:hAnsi="HelveticaNeueLT Std" w:cs="Arial"/>
                <w:bCs/>
                <w:sz w:val="20"/>
                <w:szCs w:val="20"/>
                <w:lang w:eastAsia="es-MX"/>
              </w:rPr>
              <w:t xml:space="preserve"> se señala la metodología para la elaboración de reportes e informes de evaluación del Plan de Desarrollo Municipal vigente, sus programas y presupuesto que los gobiernos municipales realizan. En este capítulo se proponen una serie de medidas y recomendaciones con el fin de lograr una mayor efectividad en el desarrollo de estas actividades. </w:t>
            </w:r>
          </w:p>
          <w:p w14:paraId="49C71492" w14:textId="77777777" w:rsidR="00731765" w:rsidRPr="00940701"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40701">
              <w:rPr>
                <w:rFonts w:ascii="HelveticaNeueLT Std" w:hAnsi="HelveticaNeueLT Std" w:cs="Arial"/>
                <w:b/>
                <w:bCs/>
                <w:sz w:val="20"/>
                <w:szCs w:val="20"/>
                <w:lang w:eastAsia="es-MX"/>
              </w:rPr>
              <w:t>El capítulo 3,</w:t>
            </w:r>
            <w:r w:rsidRPr="00940701">
              <w:rPr>
                <w:rFonts w:ascii="HelveticaNeueLT Std" w:hAnsi="HelveticaNeueLT Std" w:cs="Arial"/>
                <w:bCs/>
                <w:sz w:val="20"/>
                <w:szCs w:val="20"/>
                <w:lang w:eastAsia="es-MX"/>
              </w:rPr>
              <w:t xml:space="preserve"> describe el esquema y los procedimientos recomendados para la elaboración de los reportes de avance trimestral, el Informe de Gobierno y la integración del Informe Anual de Ejecución del Plan de Desarrollo Municipal vigente. </w:t>
            </w:r>
          </w:p>
          <w:p w14:paraId="756D076B" w14:textId="77777777" w:rsidR="00731765" w:rsidRPr="00EA79C8" w:rsidRDefault="00731765" w:rsidP="00731765">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40701">
              <w:rPr>
                <w:rFonts w:ascii="HelveticaNeueLT Std" w:hAnsi="HelveticaNeueLT Std" w:cs="Arial"/>
                <w:bCs/>
                <w:sz w:val="20"/>
                <w:szCs w:val="20"/>
                <w:lang w:eastAsia="es-MX"/>
              </w:rPr>
              <w:t>Como complemento, en el apartado de anexos se muestran los formatos e instructivos para su llenado, datos que servirán de base al análisis de evaluación que deberá realizarse en el desarrollo de los diferentes capítulos que contempla el Informe de Ejecución; formatos que podrán ser utilizados en el acopio de información para el Informe de Gobierno y el reporte de avance trimestral.</w:t>
            </w:r>
          </w:p>
          <w:p w14:paraId="20868515" w14:textId="77777777" w:rsidR="00731765" w:rsidRDefault="00731765" w:rsidP="00B63844">
            <w:pPr>
              <w:autoSpaceDE w:val="0"/>
              <w:autoSpaceDN w:val="0"/>
              <w:adjustRightInd w:val="0"/>
              <w:spacing w:line="276" w:lineRule="auto"/>
              <w:jc w:val="both"/>
              <w:rPr>
                <w:rFonts w:ascii="HelveticaNeueLT Std" w:hAnsi="HelveticaNeueLT Std" w:cs="Arial"/>
                <w:bCs/>
                <w:sz w:val="20"/>
                <w:szCs w:val="20"/>
                <w:lang w:eastAsia="es-MX"/>
              </w:rPr>
            </w:pPr>
          </w:p>
        </w:tc>
      </w:tr>
      <w:tr w:rsidR="00CB211A" w:rsidRPr="009E299E" w14:paraId="60BE758B" w14:textId="77777777" w:rsidTr="00731765">
        <w:trPr>
          <w:trHeight w:val="117"/>
          <w:jc w:val="center"/>
        </w:trPr>
        <w:tc>
          <w:tcPr>
            <w:tcW w:w="567" w:type="dxa"/>
            <w:tcBorders>
              <w:top w:val="single" w:sz="4" w:space="0" w:color="auto"/>
              <w:bottom w:val="single" w:sz="4" w:space="0" w:color="auto"/>
            </w:tcBorders>
          </w:tcPr>
          <w:p w14:paraId="5A18EA18" w14:textId="77777777" w:rsidR="00CB211A" w:rsidRDefault="00CB211A"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8D978AF" w14:textId="77777777" w:rsidR="00CB211A" w:rsidRDefault="00CB211A"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9F77C83" w14:textId="1F960707" w:rsidR="00CB211A" w:rsidRPr="00B21846" w:rsidRDefault="006821BC" w:rsidP="00432A8C">
            <w:pPr>
              <w:spacing w:before="225" w:after="225" w:line="276" w:lineRule="auto"/>
              <w:jc w:val="both"/>
              <w:rPr>
                <w:rFonts w:ascii="HelveticaNeueLT Std" w:hAnsi="HelveticaNeueLT Std" w:cs="Arial"/>
                <w:b/>
                <w:bCs/>
                <w:sz w:val="20"/>
                <w:szCs w:val="20"/>
              </w:rPr>
            </w:pPr>
            <w:hyperlink r:id="rId12" w:tgtFrame="_blank" w:history="1">
              <w:r w:rsidR="007A62F7" w:rsidRPr="00455FA3">
                <w:rPr>
                  <w:rFonts w:ascii="HelveticaNeueLT Std" w:hAnsi="HelveticaNeueLT Std" w:cs="Arial"/>
                  <w:b/>
                  <w:bCs/>
                  <w:sz w:val="20"/>
                  <w:szCs w:val="20"/>
                </w:rPr>
                <w:t>Metodología para la construcción y operación del Sistema de Evaluación de la Gestión Municipal (SEGEMUN).</w:t>
              </w:r>
            </w:hyperlink>
          </w:p>
        </w:tc>
        <w:tc>
          <w:tcPr>
            <w:tcW w:w="7938" w:type="dxa"/>
            <w:tcBorders>
              <w:top w:val="single" w:sz="4" w:space="0" w:color="auto"/>
              <w:bottom w:val="single" w:sz="4" w:space="0" w:color="auto"/>
            </w:tcBorders>
          </w:tcPr>
          <w:p w14:paraId="60F897A4" w14:textId="77777777" w:rsidR="00BF1C4B" w:rsidRDefault="00BF1C4B" w:rsidP="00BF1C4B">
            <w:pPr>
              <w:autoSpaceDE w:val="0"/>
              <w:autoSpaceDN w:val="0"/>
              <w:adjustRightInd w:val="0"/>
              <w:spacing w:line="276" w:lineRule="auto"/>
              <w:jc w:val="both"/>
              <w:rPr>
                <w:rFonts w:ascii="HelveticaNeueLT Std" w:hAnsi="HelveticaNeueLT Std" w:cs="Arial"/>
                <w:bCs/>
                <w:sz w:val="20"/>
                <w:szCs w:val="20"/>
                <w:lang w:eastAsia="es-MX"/>
              </w:rPr>
            </w:pPr>
          </w:p>
          <w:p w14:paraId="6F72C926" w14:textId="02DD25F9" w:rsidR="00DE7029" w:rsidRPr="00B7521E" w:rsidRDefault="00BF1C4B" w:rsidP="00B7521E">
            <w:pPr>
              <w:autoSpaceDE w:val="0"/>
              <w:autoSpaceDN w:val="0"/>
              <w:adjustRightInd w:val="0"/>
              <w:spacing w:line="276" w:lineRule="auto"/>
              <w:jc w:val="both"/>
              <w:rPr>
                <w:rFonts w:ascii="HelveticaNeueLT Std" w:hAnsi="HelveticaNeueLT Std" w:cs="Arial"/>
                <w:bCs/>
                <w:sz w:val="20"/>
                <w:szCs w:val="20"/>
                <w:lang w:eastAsia="es-MX"/>
              </w:rPr>
            </w:pPr>
            <w:r w:rsidRPr="00B7521E">
              <w:rPr>
                <w:rFonts w:ascii="HelveticaNeueLT Std" w:hAnsi="HelveticaNeueLT Std" w:cs="Arial"/>
                <w:bCs/>
                <w:sz w:val="20"/>
                <w:szCs w:val="20"/>
                <w:lang w:eastAsia="es-MX"/>
              </w:rPr>
              <w:t>La Metodología para la construcción y operación del Sistema de Evaluación de la Gestión Municipal incluye los planteamientos previamente concertados con la totalidad de los ayuntamientos para establecer las bases de cómo el Gobierno Municipal deberá realizar el seguimiento y evaluación de los planes y programas, así como del desempeño gubernamental durante cada ejercicio fiscal de su Administración. Para cada Programa presupuestario se deberá desarrollar la Metodología del Marco Lógico (MML), e incluso para sus proyectos, si se considera la aplicación y desarrollo de las Matrices en Cascada, donde participan diversas dependencias de manera transversal para el cumplimiento de los objetivos.</w:t>
            </w:r>
          </w:p>
          <w:p w14:paraId="79066D23" w14:textId="77777777" w:rsidR="000A2208" w:rsidRDefault="000A2208" w:rsidP="000A2208">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4401AE0" w14:textId="45A15E90" w:rsidR="000A2208" w:rsidRPr="00B7521E" w:rsidRDefault="000A2208" w:rsidP="00B7521E">
            <w:pPr>
              <w:autoSpaceDE w:val="0"/>
              <w:autoSpaceDN w:val="0"/>
              <w:adjustRightInd w:val="0"/>
              <w:spacing w:line="276" w:lineRule="auto"/>
              <w:jc w:val="both"/>
              <w:rPr>
                <w:rFonts w:ascii="HelveticaNeueLT Std" w:hAnsi="HelveticaNeueLT Std" w:cs="Arial"/>
                <w:bCs/>
                <w:sz w:val="20"/>
                <w:szCs w:val="20"/>
                <w:lang w:eastAsia="es-MX"/>
              </w:rPr>
            </w:pPr>
            <w:r w:rsidRPr="00B7521E">
              <w:rPr>
                <w:rFonts w:ascii="HelveticaNeueLT Std" w:hAnsi="HelveticaNeueLT Std" w:cs="Arial"/>
                <w:bCs/>
                <w:sz w:val="20"/>
                <w:szCs w:val="20"/>
                <w:lang w:eastAsia="es-MX"/>
              </w:rPr>
              <w:t>El Sistema de Evaluación de la Gestión Municipal (SEGEMUN), es el conjunto de elementos metodológicos que permitirán que los municipios realicen el seguimiento y evaluación de los Programas presupuestarios considerando la verificación del grado de cumplimiento principalmente de objetivos y sus metas asociadas a través del uso de indicadores estratégicos y de gestión, con la finalidad de:</w:t>
            </w:r>
          </w:p>
          <w:p w14:paraId="6D5E8E8E" w14:textId="77777777" w:rsidR="000A2208" w:rsidRPr="000A2208" w:rsidRDefault="000A2208" w:rsidP="000A2208">
            <w:pPr>
              <w:pStyle w:val="Prrafodelista"/>
              <w:rPr>
                <w:rFonts w:ascii="HelveticaNeueLT Std" w:hAnsi="HelveticaNeueLT Std" w:cs="Arial"/>
                <w:bCs/>
                <w:sz w:val="20"/>
                <w:szCs w:val="20"/>
                <w:lang w:eastAsia="es-MX"/>
              </w:rPr>
            </w:pPr>
          </w:p>
          <w:p w14:paraId="6B4AB040" w14:textId="77777777" w:rsidR="000A2208" w:rsidRDefault="000A2208" w:rsidP="006B2330">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0A2208">
              <w:rPr>
                <w:rFonts w:ascii="HelveticaNeueLT Std" w:hAnsi="HelveticaNeueLT Std" w:cs="Arial"/>
                <w:bCs/>
                <w:sz w:val="20"/>
                <w:szCs w:val="20"/>
                <w:lang w:eastAsia="es-MX"/>
              </w:rPr>
              <w:t>Dimensionar los resultados alcanzados por la aplicación de los recursos públicos de que se disponga y el impacto social d</w:t>
            </w:r>
            <w:r>
              <w:rPr>
                <w:rFonts w:ascii="HelveticaNeueLT Std" w:hAnsi="HelveticaNeueLT Std" w:cs="Arial"/>
                <w:bCs/>
                <w:sz w:val="20"/>
                <w:szCs w:val="20"/>
                <w:lang w:eastAsia="es-MX"/>
              </w:rPr>
              <w:t>e los Programas presupuestarios.</w:t>
            </w:r>
          </w:p>
          <w:p w14:paraId="41BF9CB2" w14:textId="77777777" w:rsidR="000A2208" w:rsidRPr="000A2208" w:rsidRDefault="000A2208" w:rsidP="000A2208">
            <w:pPr>
              <w:pStyle w:val="Prrafodelista"/>
              <w:rPr>
                <w:rFonts w:ascii="HelveticaNeueLT Std" w:hAnsi="HelveticaNeueLT Std" w:cs="Arial"/>
                <w:bCs/>
                <w:sz w:val="20"/>
                <w:szCs w:val="20"/>
                <w:lang w:eastAsia="es-MX"/>
              </w:rPr>
            </w:pPr>
          </w:p>
          <w:p w14:paraId="17F9DC4A" w14:textId="77777777" w:rsidR="000A2208" w:rsidRDefault="000A2208" w:rsidP="006B2330">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0A2208">
              <w:rPr>
                <w:rFonts w:ascii="HelveticaNeueLT Std" w:hAnsi="HelveticaNeueLT Std" w:cs="Arial"/>
                <w:bCs/>
                <w:sz w:val="20"/>
                <w:szCs w:val="20"/>
                <w:lang w:eastAsia="es-MX"/>
              </w:rPr>
              <w:t>Conocer la eficacia, eficiencia, calidad y economía de las administraciones públicas municipales; y</w:t>
            </w:r>
          </w:p>
          <w:p w14:paraId="1C987092" w14:textId="77777777" w:rsidR="000A2208" w:rsidRPr="000A2208" w:rsidRDefault="000A2208" w:rsidP="000A2208">
            <w:pPr>
              <w:pStyle w:val="Prrafodelista"/>
              <w:rPr>
                <w:rFonts w:ascii="HelveticaNeueLT Std" w:hAnsi="HelveticaNeueLT Std" w:cs="Arial"/>
                <w:bCs/>
                <w:sz w:val="20"/>
                <w:szCs w:val="20"/>
                <w:lang w:eastAsia="es-MX"/>
              </w:rPr>
            </w:pPr>
          </w:p>
          <w:p w14:paraId="59380DD4" w14:textId="77777777" w:rsidR="000A2208" w:rsidRDefault="000A2208" w:rsidP="006B2330">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0A2208">
              <w:rPr>
                <w:rFonts w:ascii="HelveticaNeueLT Std" w:hAnsi="HelveticaNeueLT Std" w:cs="Arial"/>
                <w:bCs/>
                <w:sz w:val="20"/>
                <w:szCs w:val="20"/>
                <w:lang w:eastAsia="es-MX"/>
              </w:rPr>
              <w:t>Contar con elementos para aplicar las medidas conducentes que mejoren el desempeño de los Programas presupuestarios enfatizando en la calidad de los bienes y servicios públicos, así como en la creación de valor público.</w:t>
            </w:r>
          </w:p>
          <w:p w14:paraId="40171E68" w14:textId="77777777" w:rsidR="000A2208" w:rsidRPr="000A2208" w:rsidRDefault="000A2208" w:rsidP="000A2208">
            <w:pPr>
              <w:pStyle w:val="Prrafodelista"/>
              <w:rPr>
                <w:rFonts w:ascii="HelveticaNeueLT Std" w:hAnsi="HelveticaNeueLT Std" w:cs="Arial"/>
                <w:bCs/>
                <w:sz w:val="20"/>
                <w:szCs w:val="20"/>
                <w:lang w:eastAsia="es-MX"/>
              </w:rPr>
            </w:pPr>
          </w:p>
          <w:p w14:paraId="1AB6FECE" w14:textId="6188DFAC" w:rsidR="000A2208" w:rsidRPr="00B7521E" w:rsidRDefault="000A2208" w:rsidP="00B7521E">
            <w:pPr>
              <w:autoSpaceDE w:val="0"/>
              <w:autoSpaceDN w:val="0"/>
              <w:adjustRightInd w:val="0"/>
              <w:spacing w:line="276" w:lineRule="auto"/>
              <w:jc w:val="both"/>
              <w:rPr>
                <w:rFonts w:ascii="HelveticaNeueLT Std" w:hAnsi="HelveticaNeueLT Std" w:cs="Arial"/>
                <w:bCs/>
                <w:sz w:val="20"/>
                <w:szCs w:val="20"/>
                <w:lang w:eastAsia="es-MX"/>
              </w:rPr>
            </w:pPr>
            <w:r w:rsidRPr="00B7521E">
              <w:rPr>
                <w:rFonts w:ascii="HelveticaNeueLT Std" w:hAnsi="HelveticaNeueLT Std" w:cs="Arial"/>
                <w:bCs/>
                <w:sz w:val="20"/>
                <w:szCs w:val="20"/>
                <w:lang w:eastAsia="es-MX"/>
              </w:rPr>
              <w:t>El SEGEMUN es de aplicación municipal en el Estado de México y corresponde al Sistema de Evaluación del Desempeño (SED), utilizado por la Federación.</w:t>
            </w:r>
            <w:r>
              <w:t xml:space="preserve"> </w:t>
            </w:r>
          </w:p>
          <w:p w14:paraId="50210D60" w14:textId="77777777" w:rsidR="00F458DC" w:rsidRPr="00F458DC" w:rsidRDefault="00F458DC" w:rsidP="00F458DC">
            <w:pPr>
              <w:pStyle w:val="Prrafodelista"/>
              <w:rPr>
                <w:rFonts w:ascii="HelveticaNeueLT Std" w:hAnsi="HelveticaNeueLT Std" w:cs="Arial"/>
                <w:bCs/>
                <w:sz w:val="20"/>
                <w:szCs w:val="20"/>
                <w:lang w:eastAsia="es-MX"/>
              </w:rPr>
            </w:pPr>
          </w:p>
          <w:p w14:paraId="097EE386" w14:textId="6DDA0617" w:rsidR="00D7726D" w:rsidRPr="000A2208" w:rsidRDefault="00B945DE" w:rsidP="00731765">
            <w:pPr>
              <w:autoSpaceDE w:val="0"/>
              <w:autoSpaceDN w:val="0"/>
              <w:adjustRightInd w:val="0"/>
              <w:spacing w:line="276" w:lineRule="auto"/>
              <w:jc w:val="both"/>
              <w:rPr>
                <w:rFonts w:ascii="HelveticaNeueLT Std" w:hAnsi="HelveticaNeueLT Std" w:cs="Arial"/>
                <w:bCs/>
                <w:sz w:val="20"/>
                <w:szCs w:val="20"/>
                <w:lang w:eastAsia="es-MX"/>
              </w:rPr>
            </w:pPr>
            <w:r w:rsidRPr="00B7521E">
              <w:rPr>
                <w:rFonts w:ascii="HelveticaNeueLT Std" w:hAnsi="HelveticaNeueLT Std" w:cs="Arial"/>
                <w:bCs/>
                <w:sz w:val="20"/>
                <w:szCs w:val="20"/>
                <w:lang w:eastAsia="es-MX"/>
              </w:rPr>
              <w:t>El Presupuesto basado en Resultados (</w:t>
            </w:r>
            <w:proofErr w:type="spellStart"/>
            <w:r w:rsidRPr="00B7521E">
              <w:rPr>
                <w:rFonts w:ascii="HelveticaNeueLT Std" w:hAnsi="HelveticaNeueLT Std" w:cs="Arial"/>
                <w:bCs/>
                <w:sz w:val="20"/>
                <w:szCs w:val="20"/>
                <w:lang w:eastAsia="es-MX"/>
              </w:rPr>
              <w:t>PbR</w:t>
            </w:r>
            <w:proofErr w:type="spellEnd"/>
            <w:r w:rsidRPr="00B7521E">
              <w:rPr>
                <w:rFonts w:ascii="HelveticaNeueLT Std" w:hAnsi="HelveticaNeueLT Std" w:cs="Arial"/>
                <w:bCs/>
                <w:sz w:val="20"/>
                <w:szCs w:val="20"/>
                <w:lang w:eastAsia="es-MX"/>
              </w:rPr>
              <w:t xml:space="preserve">), tiene el propósito de impulsar una propuesta integral que permita realizar la evaluación de las políticas públicas, los </w:t>
            </w:r>
          </w:p>
          <w:p w14:paraId="46706423" w14:textId="7981DEDE" w:rsidR="000A2208" w:rsidRPr="00731765" w:rsidRDefault="000A2208" w:rsidP="00731765">
            <w:pPr>
              <w:autoSpaceDE w:val="0"/>
              <w:autoSpaceDN w:val="0"/>
              <w:adjustRightInd w:val="0"/>
              <w:spacing w:line="276" w:lineRule="auto"/>
              <w:jc w:val="both"/>
              <w:rPr>
                <w:rFonts w:ascii="HelveticaNeueLT Std" w:hAnsi="HelveticaNeueLT Std" w:cs="Arial"/>
                <w:bCs/>
                <w:sz w:val="20"/>
                <w:szCs w:val="20"/>
                <w:lang w:eastAsia="es-MX"/>
              </w:rPr>
            </w:pPr>
          </w:p>
        </w:tc>
      </w:tr>
      <w:tr w:rsidR="00731765" w:rsidRPr="009E299E" w14:paraId="6C8FF49B" w14:textId="77777777" w:rsidTr="00731765">
        <w:trPr>
          <w:trHeight w:val="117"/>
          <w:jc w:val="center"/>
        </w:trPr>
        <w:tc>
          <w:tcPr>
            <w:tcW w:w="567" w:type="dxa"/>
            <w:tcBorders>
              <w:top w:val="single" w:sz="4" w:space="0" w:color="auto"/>
              <w:bottom w:val="nil"/>
            </w:tcBorders>
          </w:tcPr>
          <w:p w14:paraId="0372FBAE" w14:textId="77777777" w:rsidR="00731765" w:rsidRDefault="0073176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D2DFA54"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7E96A98" w14:textId="77777777" w:rsidR="00731765" w:rsidRDefault="00731765" w:rsidP="00432A8C">
            <w:pPr>
              <w:spacing w:before="225" w:after="225" w:line="276" w:lineRule="auto"/>
              <w:jc w:val="both"/>
            </w:pPr>
          </w:p>
        </w:tc>
        <w:tc>
          <w:tcPr>
            <w:tcW w:w="7938" w:type="dxa"/>
            <w:tcBorders>
              <w:top w:val="single" w:sz="4" w:space="0" w:color="auto"/>
              <w:bottom w:val="nil"/>
            </w:tcBorders>
          </w:tcPr>
          <w:p w14:paraId="40F01E1F" w14:textId="77777777" w:rsidR="00731765" w:rsidRPr="00B945DE" w:rsidRDefault="00731765" w:rsidP="00731765">
            <w:pPr>
              <w:autoSpaceDE w:val="0"/>
              <w:autoSpaceDN w:val="0"/>
              <w:adjustRightInd w:val="0"/>
              <w:spacing w:line="276" w:lineRule="auto"/>
              <w:jc w:val="both"/>
            </w:pPr>
            <w:r w:rsidRPr="00B7521E">
              <w:rPr>
                <w:rFonts w:ascii="HelveticaNeueLT Std" w:hAnsi="HelveticaNeueLT Std" w:cs="Arial"/>
                <w:bCs/>
                <w:sz w:val="20"/>
                <w:szCs w:val="20"/>
                <w:lang w:eastAsia="es-MX"/>
              </w:rPr>
              <w:t>Programas presupuestarios y el desempeño de las dependencias y organismos municipales, para orientar sus esfuerzos hacia resultados concretos.</w:t>
            </w:r>
          </w:p>
          <w:p w14:paraId="56C06540" w14:textId="77777777" w:rsidR="00731765" w:rsidRPr="00D7726D" w:rsidRDefault="00731765" w:rsidP="00731765">
            <w:pPr>
              <w:pStyle w:val="Prrafodelista"/>
              <w:rPr>
                <w:rFonts w:ascii="HelveticaNeueLT Std" w:hAnsi="HelveticaNeueLT Std" w:cs="Arial"/>
                <w:bCs/>
                <w:sz w:val="20"/>
                <w:szCs w:val="20"/>
                <w:lang w:eastAsia="es-MX"/>
              </w:rPr>
            </w:pPr>
          </w:p>
          <w:p w14:paraId="2DF927DC" w14:textId="77777777" w:rsidR="00731765" w:rsidRPr="000A2208" w:rsidRDefault="00731765" w:rsidP="00731765">
            <w:pPr>
              <w:autoSpaceDE w:val="0"/>
              <w:autoSpaceDN w:val="0"/>
              <w:adjustRightInd w:val="0"/>
              <w:spacing w:line="276" w:lineRule="auto"/>
              <w:jc w:val="both"/>
              <w:rPr>
                <w:rFonts w:ascii="HelveticaNeueLT Std" w:hAnsi="HelveticaNeueLT Std" w:cs="Arial"/>
                <w:bCs/>
                <w:sz w:val="20"/>
                <w:szCs w:val="20"/>
                <w:lang w:eastAsia="es-MX"/>
              </w:rPr>
            </w:pPr>
            <w:r w:rsidRPr="00B7521E">
              <w:rPr>
                <w:rFonts w:ascii="HelveticaNeueLT Std" w:hAnsi="HelveticaNeueLT Std" w:cs="Arial"/>
                <w:bCs/>
                <w:sz w:val="20"/>
                <w:szCs w:val="20"/>
                <w:lang w:eastAsia="es-MX"/>
              </w:rPr>
              <w:t xml:space="preserve">Bajo esta nueva perspectiva el Sistema de Coordinación Hacendaría del Estado de México y sus Municipios pretende fortalecer a la gestión pública orientada a </w:t>
            </w:r>
            <w:proofErr w:type="spellStart"/>
            <w:proofErr w:type="gramStart"/>
            <w:r w:rsidRPr="00B7521E">
              <w:rPr>
                <w:rFonts w:ascii="HelveticaNeueLT Std" w:hAnsi="HelveticaNeueLT Std" w:cs="Arial"/>
                <w:bCs/>
                <w:sz w:val="20"/>
                <w:szCs w:val="20"/>
                <w:lang w:eastAsia="es-MX"/>
              </w:rPr>
              <w:t>resultados.</w:t>
            </w:r>
            <w:r w:rsidRPr="00FB76BB">
              <w:rPr>
                <w:rFonts w:ascii="HelveticaNeueLT Std" w:hAnsi="HelveticaNeueLT Std" w:cs="Arial"/>
                <w:bCs/>
                <w:sz w:val="20"/>
                <w:szCs w:val="20"/>
                <w:lang w:eastAsia="es-MX"/>
              </w:rPr>
              <w:t>El</w:t>
            </w:r>
            <w:proofErr w:type="spellEnd"/>
            <w:proofErr w:type="gramEnd"/>
            <w:r w:rsidRPr="00FB76BB">
              <w:rPr>
                <w:rFonts w:ascii="HelveticaNeueLT Std" w:hAnsi="HelveticaNeueLT Std" w:cs="Arial"/>
                <w:bCs/>
                <w:sz w:val="20"/>
                <w:szCs w:val="20"/>
                <w:lang w:eastAsia="es-MX"/>
              </w:rPr>
              <w:t xml:space="preserve"> objetivo es sistematizar los criterios para establecer las evaluaciones a través de la Metodología del Marco Lógico y del uso de Matrices de Indicadores para Resultados.</w:t>
            </w:r>
          </w:p>
          <w:p w14:paraId="70AB0948" w14:textId="77777777" w:rsidR="00731765" w:rsidRDefault="00731765" w:rsidP="00BF1C4B">
            <w:pPr>
              <w:autoSpaceDE w:val="0"/>
              <w:autoSpaceDN w:val="0"/>
              <w:adjustRightInd w:val="0"/>
              <w:spacing w:line="276" w:lineRule="auto"/>
              <w:jc w:val="both"/>
              <w:rPr>
                <w:rFonts w:ascii="HelveticaNeueLT Std" w:hAnsi="HelveticaNeueLT Std" w:cs="Arial"/>
                <w:bCs/>
                <w:sz w:val="20"/>
                <w:szCs w:val="20"/>
                <w:lang w:eastAsia="es-MX"/>
              </w:rPr>
            </w:pPr>
          </w:p>
        </w:tc>
      </w:tr>
      <w:tr w:rsidR="00A612E1" w:rsidRPr="009E299E" w14:paraId="34ED1D80" w14:textId="77777777" w:rsidTr="00731765">
        <w:trPr>
          <w:trHeight w:val="117"/>
          <w:jc w:val="center"/>
        </w:trPr>
        <w:tc>
          <w:tcPr>
            <w:tcW w:w="567" w:type="dxa"/>
            <w:tcBorders>
              <w:top w:val="nil"/>
              <w:bottom w:val="single" w:sz="4" w:space="0" w:color="auto"/>
            </w:tcBorders>
          </w:tcPr>
          <w:p w14:paraId="07B84110" w14:textId="77777777" w:rsidR="00A612E1" w:rsidRDefault="00A612E1" w:rsidP="00F458DC">
            <w:pPr>
              <w:spacing w:line="276" w:lineRule="auto"/>
              <w:rPr>
                <w:rFonts w:ascii="HelveticaNeueLT Std" w:hAnsi="HelveticaNeueLT Std" w:cs="Arial"/>
                <w:b/>
                <w:bCs/>
                <w:sz w:val="20"/>
                <w:szCs w:val="20"/>
              </w:rPr>
            </w:pPr>
          </w:p>
        </w:tc>
        <w:tc>
          <w:tcPr>
            <w:tcW w:w="2410" w:type="dxa"/>
            <w:tcBorders>
              <w:top w:val="nil"/>
              <w:bottom w:val="single" w:sz="4" w:space="0" w:color="auto"/>
            </w:tcBorders>
          </w:tcPr>
          <w:p w14:paraId="42A4BD1B" w14:textId="77777777" w:rsidR="00A612E1" w:rsidRDefault="00A612E1" w:rsidP="00A84D2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44F79AC9" w14:textId="5AF54A81" w:rsidR="00A612E1" w:rsidRPr="007A62F7" w:rsidRDefault="006821BC" w:rsidP="00432A8C">
            <w:pPr>
              <w:spacing w:before="225" w:after="225" w:line="276" w:lineRule="auto"/>
              <w:jc w:val="both"/>
              <w:rPr>
                <w:rFonts w:ascii="HelveticaNeueLT Std" w:hAnsi="HelveticaNeueLT Std" w:cs="Arial"/>
                <w:b/>
                <w:bCs/>
                <w:sz w:val="20"/>
                <w:szCs w:val="20"/>
              </w:rPr>
            </w:pPr>
            <w:hyperlink r:id="rId13" w:tgtFrame="_blank" w:history="1">
              <w:r w:rsidR="00A612E1" w:rsidRPr="00A612E1">
                <w:rPr>
                  <w:rFonts w:ascii="HelveticaNeueLT Std" w:hAnsi="HelveticaNeueLT Std" w:cs="Arial"/>
                  <w:b/>
                  <w:bCs/>
                  <w:sz w:val="20"/>
                  <w:szCs w:val="20"/>
                </w:rPr>
                <w:t>Lineamientos generales para la evaluación de los programas presupuestarios municipales.</w:t>
              </w:r>
            </w:hyperlink>
          </w:p>
        </w:tc>
        <w:tc>
          <w:tcPr>
            <w:tcW w:w="7938" w:type="dxa"/>
            <w:tcBorders>
              <w:top w:val="nil"/>
              <w:bottom w:val="single" w:sz="4" w:space="0" w:color="auto"/>
            </w:tcBorders>
          </w:tcPr>
          <w:p w14:paraId="46BE7678" w14:textId="77777777" w:rsidR="00CA7468" w:rsidRDefault="00CA7468" w:rsidP="00CA7468">
            <w:pPr>
              <w:jc w:val="both"/>
              <w:rPr>
                <w:rFonts w:ascii="HelveticaNeueLT Std" w:hAnsi="HelveticaNeueLT Std" w:cs="Arial"/>
                <w:bCs/>
                <w:sz w:val="20"/>
                <w:szCs w:val="20"/>
                <w:lang w:eastAsia="es-MX"/>
              </w:rPr>
            </w:pPr>
          </w:p>
          <w:p w14:paraId="2B5D9ED3" w14:textId="77777777" w:rsidR="00955E72" w:rsidRDefault="00CA7468" w:rsidP="00FE3CD2">
            <w:pPr>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A través de los presentes Lineamientos se establece:</w:t>
            </w:r>
          </w:p>
          <w:p w14:paraId="1EB27874" w14:textId="77777777" w:rsidR="00FE3CD2" w:rsidRPr="000A2208" w:rsidRDefault="00FE3CD2" w:rsidP="00FE3CD2">
            <w:pPr>
              <w:pStyle w:val="Prrafodelista"/>
              <w:rPr>
                <w:rFonts w:ascii="HelveticaNeueLT Std" w:hAnsi="HelveticaNeueLT Std" w:cs="Arial"/>
                <w:bCs/>
                <w:sz w:val="20"/>
                <w:szCs w:val="20"/>
                <w:lang w:eastAsia="es-MX"/>
              </w:rPr>
            </w:pPr>
          </w:p>
          <w:p w14:paraId="766F6FEE" w14:textId="35831EFB" w:rsidR="00FE3CD2" w:rsidRPr="009460F4" w:rsidRDefault="00FE3CD2" w:rsidP="006B2330">
            <w:pPr>
              <w:pStyle w:val="Prrafodelista"/>
              <w:numPr>
                <w:ilvl w:val="0"/>
                <w:numId w:val="8"/>
              </w:numPr>
              <w:jc w:val="both"/>
              <w:rPr>
                <w:rFonts w:ascii="HelveticaNeueLT Std" w:hAnsi="HelveticaNeueLT Std" w:cs="Arial"/>
                <w:bCs/>
                <w:sz w:val="20"/>
                <w:szCs w:val="20"/>
                <w:lang w:eastAsia="es-MX"/>
              </w:rPr>
            </w:pPr>
            <w:r w:rsidRPr="00FE3CD2">
              <w:rPr>
                <w:rFonts w:ascii="HelveticaNeueLT Std" w:hAnsi="HelveticaNeueLT Std" w:cs="Arial"/>
                <w:bCs/>
                <w:sz w:val="20"/>
                <w:szCs w:val="20"/>
                <w:lang w:eastAsia="es-MX"/>
              </w:rPr>
              <w:t>Los presentes lineamientos tienen por objeto regular la evaluación de los programas y proyectos presupuestarios municipales.</w:t>
            </w:r>
          </w:p>
          <w:p w14:paraId="02484AE5" w14:textId="77777777" w:rsidR="00FE3CD2" w:rsidRPr="009460F4" w:rsidRDefault="00FE3CD2" w:rsidP="00FE3CD2">
            <w:pPr>
              <w:pStyle w:val="Prrafodelista"/>
              <w:jc w:val="both"/>
              <w:rPr>
                <w:rFonts w:ascii="HelveticaNeueLT Std" w:hAnsi="HelveticaNeueLT Std" w:cs="Arial"/>
                <w:bCs/>
                <w:sz w:val="20"/>
                <w:szCs w:val="20"/>
                <w:lang w:eastAsia="es-MX"/>
              </w:rPr>
            </w:pPr>
          </w:p>
          <w:p w14:paraId="5C15E9B1" w14:textId="209D5D89" w:rsidR="00FE3CD2" w:rsidRPr="009460F4" w:rsidRDefault="00FE3CD2" w:rsidP="006B2330">
            <w:pPr>
              <w:pStyle w:val="Prrafodelista"/>
              <w:numPr>
                <w:ilvl w:val="0"/>
                <w:numId w:val="8"/>
              </w:numPr>
              <w:jc w:val="both"/>
              <w:rPr>
                <w:rFonts w:ascii="HelveticaNeueLT Std" w:hAnsi="HelveticaNeueLT Std" w:cs="Arial"/>
                <w:bCs/>
                <w:sz w:val="20"/>
                <w:szCs w:val="20"/>
                <w:lang w:eastAsia="es-MX"/>
              </w:rPr>
            </w:pPr>
            <w:r w:rsidRPr="00FE3CD2">
              <w:rPr>
                <w:rFonts w:ascii="HelveticaNeueLT Std" w:hAnsi="HelveticaNeueLT Std" w:cs="Arial"/>
                <w:bCs/>
                <w:sz w:val="20"/>
                <w:szCs w:val="20"/>
                <w:lang w:eastAsia="es-MX"/>
              </w:rPr>
              <w:t>Los presentes lineamientos son de observancia obligatoria para:</w:t>
            </w:r>
          </w:p>
          <w:p w14:paraId="1DD6B026" w14:textId="77777777" w:rsidR="009460F4" w:rsidRPr="009460F4" w:rsidRDefault="009460F4" w:rsidP="009460F4">
            <w:pPr>
              <w:pStyle w:val="Prrafodelista"/>
              <w:jc w:val="both"/>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a) Las Dependencias Administrativas,</w:t>
            </w:r>
          </w:p>
          <w:p w14:paraId="29A89BDD" w14:textId="4879314F" w:rsidR="009460F4" w:rsidRPr="009460F4" w:rsidRDefault="009460F4" w:rsidP="009460F4">
            <w:pPr>
              <w:pStyle w:val="Prrafodelista"/>
              <w:jc w:val="both"/>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b) La Contraloría Municipal; y </w:t>
            </w:r>
          </w:p>
          <w:p w14:paraId="501A1601" w14:textId="75D3C162" w:rsidR="009460F4" w:rsidRDefault="009460F4" w:rsidP="009460F4">
            <w:pPr>
              <w:pStyle w:val="Prrafodelista"/>
              <w:jc w:val="both"/>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c) Los Organismos Auxiliares.</w:t>
            </w:r>
          </w:p>
          <w:p w14:paraId="57AEB80C" w14:textId="6F268D6F" w:rsidR="009460F4" w:rsidRDefault="009460F4" w:rsidP="009460F4">
            <w:pPr>
              <w:pStyle w:val="Prrafodelista"/>
              <w:jc w:val="both"/>
              <w:rPr>
                <w:rFonts w:ascii="HelveticaNeueLT Std" w:hAnsi="HelveticaNeueLT Std" w:cs="Arial"/>
                <w:bCs/>
                <w:sz w:val="20"/>
                <w:szCs w:val="20"/>
                <w:lang w:eastAsia="es-MX"/>
              </w:rPr>
            </w:pPr>
          </w:p>
          <w:p w14:paraId="350CD95B" w14:textId="56977E7E" w:rsidR="009460F4" w:rsidRPr="009460F4" w:rsidRDefault="009460F4" w:rsidP="006B2330">
            <w:pPr>
              <w:pStyle w:val="Prrafodelista"/>
              <w:numPr>
                <w:ilvl w:val="0"/>
                <w:numId w:val="9"/>
              </w:numPr>
              <w:jc w:val="both"/>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La UIPPE, en coordinación con la Tesorería y la Contraloría en el ámbito de sus respectivas competencias, son los facultados para interpretar los presentes lineamientos, y resolverán los casos no previstos en los mismos.</w:t>
            </w:r>
          </w:p>
          <w:p w14:paraId="635E21A8" w14:textId="00EBABA0" w:rsidR="00FE3CD2" w:rsidRDefault="00FE3CD2" w:rsidP="00FE3CD2">
            <w:pPr>
              <w:pStyle w:val="Prrafodelista"/>
              <w:rPr>
                <w:rFonts w:ascii="HelveticaNeueLT Std" w:hAnsi="HelveticaNeueLT Std" w:cs="Arial"/>
                <w:bCs/>
                <w:sz w:val="20"/>
                <w:szCs w:val="20"/>
                <w:lang w:eastAsia="es-MX"/>
              </w:rPr>
            </w:pPr>
          </w:p>
          <w:p w14:paraId="2E279D5B" w14:textId="0DFEC310" w:rsidR="009460F4" w:rsidRDefault="009460F4" w:rsidP="006B2330">
            <w:pPr>
              <w:pStyle w:val="Prrafodelista"/>
              <w:numPr>
                <w:ilvl w:val="0"/>
                <w:numId w:val="9"/>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Para garantizar la evaluación orientada a resultados y retroalimentar el SED, se aplicarán los siguientes tipos de evaluación:</w:t>
            </w:r>
          </w:p>
          <w:p w14:paraId="018DF1B7" w14:textId="77777777" w:rsidR="009460F4" w:rsidRPr="009460F4" w:rsidRDefault="009460F4" w:rsidP="009460F4">
            <w:pPr>
              <w:pStyle w:val="Prrafodelista"/>
              <w:rPr>
                <w:rFonts w:ascii="HelveticaNeueLT Std" w:hAnsi="HelveticaNeueLT Std" w:cs="Arial"/>
                <w:bCs/>
                <w:sz w:val="20"/>
                <w:szCs w:val="20"/>
                <w:lang w:eastAsia="es-MX"/>
              </w:rPr>
            </w:pPr>
          </w:p>
          <w:p w14:paraId="325AA8F2" w14:textId="68561F1B" w:rsidR="009460F4" w:rsidRDefault="009460F4" w:rsidP="006B2330">
            <w:pPr>
              <w:pStyle w:val="Prrafodelista"/>
              <w:numPr>
                <w:ilvl w:val="0"/>
                <w:numId w:val="10"/>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Evaluación de Programas Presupuestarios: se dividen en: </w:t>
            </w:r>
          </w:p>
          <w:p w14:paraId="580A25D0" w14:textId="77777777" w:rsidR="009460F4" w:rsidRPr="009460F4" w:rsidRDefault="009460F4" w:rsidP="009460F4">
            <w:pPr>
              <w:pStyle w:val="Prrafodelista"/>
              <w:ind w:left="1140"/>
              <w:rPr>
                <w:rFonts w:ascii="HelveticaNeueLT Std" w:hAnsi="HelveticaNeueLT Std" w:cs="Arial"/>
                <w:bCs/>
                <w:sz w:val="20"/>
                <w:szCs w:val="20"/>
                <w:lang w:eastAsia="es-MX"/>
              </w:rPr>
            </w:pPr>
          </w:p>
          <w:p w14:paraId="37DDAD7E" w14:textId="6E1D64D8" w:rsidR="009460F4" w:rsidRDefault="009460F4" w:rsidP="006B2330">
            <w:pPr>
              <w:pStyle w:val="Prrafodelista"/>
              <w:numPr>
                <w:ilvl w:val="0"/>
                <w:numId w:val="11"/>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Evaluación del Diseño Programático: Analiza sistemáticamente el diseño y desempeño global de los programas, para mejorar su gestión y medir el logro de sus resultados con base en la Matriz de Indicadores para Resultados; </w:t>
            </w:r>
          </w:p>
          <w:p w14:paraId="64B2FCA4" w14:textId="77777777" w:rsidR="009460F4" w:rsidRPr="009460F4" w:rsidRDefault="009460F4" w:rsidP="009460F4">
            <w:pPr>
              <w:pStyle w:val="Prrafodelista"/>
              <w:ind w:left="1080"/>
              <w:rPr>
                <w:rFonts w:ascii="HelveticaNeueLT Std" w:hAnsi="HelveticaNeueLT Std" w:cs="Arial"/>
                <w:bCs/>
                <w:sz w:val="20"/>
                <w:szCs w:val="20"/>
                <w:lang w:eastAsia="es-MX"/>
              </w:rPr>
            </w:pPr>
          </w:p>
          <w:p w14:paraId="69F9F306" w14:textId="23E9D429" w:rsidR="00C67335" w:rsidRPr="00731765" w:rsidRDefault="009460F4" w:rsidP="00731765">
            <w:pPr>
              <w:pStyle w:val="Prrafodelista"/>
              <w:numPr>
                <w:ilvl w:val="0"/>
                <w:numId w:val="11"/>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Evaluación de Procesos: Analiza mediante trabajo de campo, si el programa lleva a cabo sus procesos operativos de manera eficaz y eficiente, y si contribuye al mejoramiento de la gestión; </w:t>
            </w:r>
          </w:p>
        </w:tc>
      </w:tr>
      <w:tr w:rsidR="00731765" w:rsidRPr="009E299E" w14:paraId="318B7953" w14:textId="77777777" w:rsidTr="00731765">
        <w:trPr>
          <w:trHeight w:val="117"/>
          <w:jc w:val="center"/>
        </w:trPr>
        <w:tc>
          <w:tcPr>
            <w:tcW w:w="567" w:type="dxa"/>
            <w:tcBorders>
              <w:top w:val="nil"/>
              <w:bottom w:val="single" w:sz="4" w:space="0" w:color="auto"/>
            </w:tcBorders>
          </w:tcPr>
          <w:p w14:paraId="62D9694B" w14:textId="77777777" w:rsidR="00731765" w:rsidRDefault="00731765" w:rsidP="00F458DC">
            <w:pPr>
              <w:spacing w:line="276" w:lineRule="auto"/>
              <w:rPr>
                <w:rFonts w:ascii="HelveticaNeueLT Std" w:hAnsi="HelveticaNeueLT Std" w:cs="Arial"/>
                <w:b/>
                <w:bCs/>
                <w:sz w:val="20"/>
                <w:szCs w:val="20"/>
              </w:rPr>
            </w:pPr>
          </w:p>
        </w:tc>
        <w:tc>
          <w:tcPr>
            <w:tcW w:w="2410" w:type="dxa"/>
            <w:tcBorders>
              <w:top w:val="nil"/>
              <w:bottom w:val="single" w:sz="4" w:space="0" w:color="auto"/>
            </w:tcBorders>
          </w:tcPr>
          <w:p w14:paraId="49A95436"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00108006" w14:textId="77777777" w:rsidR="00731765" w:rsidRDefault="00731765" w:rsidP="00432A8C">
            <w:pPr>
              <w:spacing w:before="225" w:after="225" w:line="276" w:lineRule="auto"/>
              <w:jc w:val="both"/>
            </w:pPr>
          </w:p>
        </w:tc>
        <w:tc>
          <w:tcPr>
            <w:tcW w:w="7938" w:type="dxa"/>
            <w:tcBorders>
              <w:top w:val="nil"/>
              <w:bottom w:val="single" w:sz="4" w:space="0" w:color="auto"/>
            </w:tcBorders>
          </w:tcPr>
          <w:p w14:paraId="1B5F28D4" w14:textId="77777777" w:rsidR="00731765" w:rsidRDefault="00731765" w:rsidP="00731765">
            <w:pPr>
              <w:pStyle w:val="Prrafodelista"/>
              <w:numPr>
                <w:ilvl w:val="0"/>
                <w:numId w:val="11"/>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Evaluación de Consistencia y Resultados: Analiza el diseño, operación y medición de los resultados de un Programa presupuestario de manera general, identificando áreas de mejora en cualquiera de los aspectos analizados. </w:t>
            </w:r>
          </w:p>
          <w:p w14:paraId="2CAE1300" w14:textId="77777777" w:rsidR="00731765" w:rsidRPr="009460F4" w:rsidRDefault="00731765" w:rsidP="00731765">
            <w:pPr>
              <w:pStyle w:val="Prrafodelista"/>
              <w:rPr>
                <w:rFonts w:ascii="HelveticaNeueLT Std" w:hAnsi="HelveticaNeueLT Std" w:cs="Arial"/>
                <w:bCs/>
                <w:sz w:val="20"/>
                <w:szCs w:val="20"/>
                <w:lang w:eastAsia="es-MX"/>
              </w:rPr>
            </w:pPr>
          </w:p>
          <w:p w14:paraId="2D1BB381" w14:textId="77777777" w:rsidR="00731765" w:rsidRDefault="00731765" w:rsidP="00731765">
            <w:pPr>
              <w:pStyle w:val="Prrafodelista"/>
              <w:numPr>
                <w:ilvl w:val="0"/>
                <w:numId w:val="11"/>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Evaluación de Impacto: Identifica el cambio en los indicadores a nivel de resultados, atribuible a la ejecución del Programa presupuestario; </w:t>
            </w:r>
          </w:p>
          <w:p w14:paraId="1AC220CD" w14:textId="77777777" w:rsidR="00731765" w:rsidRPr="009460F4" w:rsidRDefault="00731765" w:rsidP="00731765">
            <w:pPr>
              <w:pStyle w:val="Prrafodelista"/>
              <w:rPr>
                <w:rFonts w:ascii="HelveticaNeueLT Std" w:hAnsi="HelveticaNeueLT Std" w:cs="Arial"/>
                <w:bCs/>
                <w:sz w:val="20"/>
                <w:szCs w:val="20"/>
                <w:lang w:eastAsia="es-MX"/>
              </w:rPr>
            </w:pPr>
          </w:p>
          <w:p w14:paraId="24711025" w14:textId="77777777" w:rsidR="00731765" w:rsidRPr="009460F4" w:rsidRDefault="00731765" w:rsidP="00731765">
            <w:pPr>
              <w:pStyle w:val="Prrafodelista"/>
              <w:ind w:left="1080"/>
              <w:rPr>
                <w:rFonts w:ascii="HelveticaNeueLT Std" w:hAnsi="HelveticaNeueLT Std" w:cs="Arial"/>
                <w:bCs/>
                <w:sz w:val="20"/>
                <w:szCs w:val="20"/>
                <w:lang w:eastAsia="es-MX"/>
              </w:rPr>
            </w:pPr>
          </w:p>
          <w:p w14:paraId="208533B6" w14:textId="77777777" w:rsidR="00731765" w:rsidRDefault="00731765" w:rsidP="00731765">
            <w:pPr>
              <w:pStyle w:val="Prrafodelista"/>
              <w:numPr>
                <w:ilvl w:val="0"/>
                <w:numId w:val="11"/>
              </w:numPr>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Evaluación Específica de Desempeño: Identifica el avance en el cumplimiento de los objetivos y metas establecidas en un Programa presupuestario, mediante el análisis de indicadores de resultados, de servicios y de gestión de los programas sociales.</w:t>
            </w:r>
          </w:p>
          <w:p w14:paraId="311D7F8C" w14:textId="77777777" w:rsidR="00731765" w:rsidRPr="009460F4" w:rsidRDefault="00731765" w:rsidP="00731765">
            <w:pPr>
              <w:pStyle w:val="Prrafodelista"/>
              <w:ind w:left="1080"/>
              <w:rPr>
                <w:rFonts w:ascii="HelveticaNeueLT Std" w:hAnsi="HelveticaNeueLT Std" w:cs="Arial"/>
                <w:bCs/>
                <w:sz w:val="20"/>
                <w:szCs w:val="20"/>
                <w:lang w:eastAsia="es-MX"/>
              </w:rPr>
            </w:pPr>
          </w:p>
          <w:p w14:paraId="53B2DAB3" w14:textId="77777777" w:rsidR="00731765" w:rsidRDefault="00731765" w:rsidP="00731765">
            <w:pPr>
              <w:pStyle w:val="Prrafodelista"/>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 f) Evaluación Específica: Aquellas evaluaciones no comprendidas en los presentes lineamientos, y que se realizarán mediante trabajo de administración y/o de campo, y</w:t>
            </w:r>
          </w:p>
          <w:p w14:paraId="0F7CF1C0" w14:textId="77777777" w:rsidR="00731765" w:rsidRDefault="00731765" w:rsidP="00731765">
            <w:pPr>
              <w:pStyle w:val="Prrafodelista"/>
              <w:rPr>
                <w:rFonts w:ascii="HelveticaNeueLT Std" w:hAnsi="HelveticaNeueLT Std" w:cs="Arial"/>
                <w:bCs/>
                <w:sz w:val="20"/>
                <w:szCs w:val="20"/>
                <w:lang w:eastAsia="es-MX"/>
              </w:rPr>
            </w:pPr>
          </w:p>
          <w:p w14:paraId="47531BBB" w14:textId="77777777" w:rsidR="00731765" w:rsidRPr="009460F4" w:rsidRDefault="00731765" w:rsidP="00731765">
            <w:pPr>
              <w:pStyle w:val="Prrafodelista"/>
              <w:rPr>
                <w:rFonts w:ascii="HelveticaNeueLT Std" w:hAnsi="HelveticaNeueLT Std" w:cs="Arial"/>
                <w:bCs/>
                <w:sz w:val="20"/>
                <w:szCs w:val="20"/>
                <w:lang w:eastAsia="es-MX"/>
              </w:rPr>
            </w:pPr>
            <w:r w:rsidRPr="009460F4">
              <w:rPr>
                <w:rFonts w:ascii="HelveticaNeueLT Std" w:hAnsi="HelveticaNeueLT Std" w:cs="Arial"/>
                <w:bCs/>
                <w:sz w:val="20"/>
                <w:szCs w:val="20"/>
                <w:lang w:eastAsia="es-MX"/>
              </w:rPr>
              <w:t xml:space="preserve"> 2) Evaluaciones Estratégicas del Desempeño Institucional: Las evaluaciones que se aplican a un programa o conjunto de programas en torno a las estrategias, políticas e instituciones.</w:t>
            </w:r>
          </w:p>
          <w:p w14:paraId="5A5BABA0" w14:textId="77777777" w:rsidR="00731765" w:rsidRDefault="00731765" w:rsidP="00731765">
            <w:pPr>
              <w:pStyle w:val="Prrafodelista"/>
              <w:rPr>
                <w:rFonts w:ascii="HelveticaNeueLT Std" w:hAnsi="HelveticaNeueLT Std" w:cs="Arial"/>
                <w:bCs/>
                <w:sz w:val="20"/>
                <w:szCs w:val="20"/>
                <w:lang w:eastAsia="es-MX"/>
              </w:rPr>
            </w:pPr>
          </w:p>
          <w:p w14:paraId="09D3F909" w14:textId="77777777" w:rsidR="00731765" w:rsidRDefault="00731765" w:rsidP="00731765">
            <w:pPr>
              <w:pStyle w:val="Prrafodelista"/>
              <w:numPr>
                <w:ilvl w:val="0"/>
                <w:numId w:val="12"/>
              </w:numPr>
              <w:jc w:val="both"/>
              <w:rPr>
                <w:rFonts w:ascii="HelveticaNeueLT Std" w:hAnsi="HelveticaNeueLT Std" w:cs="Arial"/>
                <w:bCs/>
                <w:sz w:val="20"/>
                <w:szCs w:val="20"/>
                <w:lang w:eastAsia="es-MX"/>
              </w:rPr>
            </w:pPr>
            <w:r w:rsidRPr="00FA7475">
              <w:rPr>
                <w:rFonts w:ascii="HelveticaNeueLT Std" w:hAnsi="HelveticaNeueLT Std" w:cs="Arial"/>
                <w:bCs/>
                <w:sz w:val="20"/>
                <w:szCs w:val="20"/>
                <w:lang w:eastAsia="es-MX"/>
              </w:rPr>
              <w:t>Los actos u omisiones que impliquen el incumplimiento a lo establecido en los presentes Lineamientos Generales para la Evaluación de los Programas presupuestarios Municipales, serán sancionados de conformidad con lo previsto en el Título Sexto, de las Sanciones, de la Ley General de Contabilidad Gubernamental, así como lo establecido en Ley de Responsabilidades Administrativas del Estado de México y Municipios y las demás disposiciones aplicables vigentes.</w:t>
            </w:r>
          </w:p>
          <w:p w14:paraId="240594EE" w14:textId="77777777" w:rsidR="00731765" w:rsidRDefault="00731765" w:rsidP="00731765">
            <w:pPr>
              <w:pStyle w:val="Prrafodelista"/>
              <w:jc w:val="both"/>
              <w:rPr>
                <w:rFonts w:ascii="HelveticaNeueLT Std" w:hAnsi="HelveticaNeueLT Std" w:cs="Arial"/>
                <w:bCs/>
                <w:sz w:val="20"/>
                <w:szCs w:val="20"/>
                <w:lang w:eastAsia="es-MX"/>
              </w:rPr>
            </w:pPr>
          </w:p>
          <w:p w14:paraId="052F2CF4" w14:textId="77777777" w:rsidR="00731765" w:rsidRDefault="00731765" w:rsidP="00731765">
            <w:pPr>
              <w:pStyle w:val="Prrafodelista"/>
              <w:numPr>
                <w:ilvl w:val="0"/>
                <w:numId w:val="12"/>
              </w:numPr>
              <w:jc w:val="both"/>
              <w:rPr>
                <w:rFonts w:ascii="HelveticaNeueLT Std" w:hAnsi="HelveticaNeueLT Std" w:cs="Arial"/>
                <w:bCs/>
                <w:sz w:val="20"/>
                <w:szCs w:val="20"/>
                <w:lang w:eastAsia="es-MX"/>
              </w:rPr>
            </w:pPr>
            <w:r w:rsidRPr="00FA7475">
              <w:rPr>
                <w:rFonts w:ascii="HelveticaNeueLT Std" w:hAnsi="HelveticaNeueLT Std" w:cs="Arial"/>
                <w:bCs/>
                <w:sz w:val="20"/>
                <w:szCs w:val="20"/>
                <w:lang w:eastAsia="es-MX"/>
              </w:rPr>
              <w:t>Los presentes Lineamientos entrarán en vigor al día</w:t>
            </w:r>
            <w:r>
              <w:rPr>
                <w:rFonts w:ascii="HelveticaNeueLT Std" w:hAnsi="HelveticaNeueLT Std" w:cs="Arial"/>
                <w:bCs/>
                <w:sz w:val="20"/>
                <w:szCs w:val="20"/>
                <w:lang w:eastAsia="es-MX"/>
              </w:rPr>
              <w:t xml:space="preserve"> once de octubre de dos mil veintidós</w:t>
            </w:r>
          </w:p>
          <w:p w14:paraId="7DDC52D8" w14:textId="77777777" w:rsidR="00731765" w:rsidRPr="00FA7475" w:rsidRDefault="00731765" w:rsidP="00731765">
            <w:pPr>
              <w:pStyle w:val="Prrafodelista"/>
              <w:rPr>
                <w:rFonts w:ascii="HelveticaNeueLT Std" w:hAnsi="HelveticaNeueLT Std" w:cs="Arial"/>
                <w:bCs/>
                <w:sz w:val="20"/>
                <w:szCs w:val="20"/>
                <w:lang w:eastAsia="es-MX"/>
              </w:rPr>
            </w:pPr>
          </w:p>
          <w:p w14:paraId="0863303E" w14:textId="77777777" w:rsidR="00731765" w:rsidRDefault="00731765" w:rsidP="00731765">
            <w:pPr>
              <w:pStyle w:val="Prrafodelista"/>
              <w:numPr>
                <w:ilvl w:val="0"/>
                <w:numId w:val="12"/>
              </w:numPr>
              <w:jc w:val="both"/>
              <w:rPr>
                <w:rFonts w:ascii="HelveticaNeueLT Std" w:hAnsi="HelveticaNeueLT Std" w:cs="Arial"/>
                <w:bCs/>
                <w:sz w:val="20"/>
                <w:szCs w:val="20"/>
                <w:lang w:eastAsia="es-MX"/>
              </w:rPr>
            </w:pPr>
            <w:r w:rsidRPr="007823B4">
              <w:rPr>
                <w:rFonts w:ascii="HelveticaNeueLT Std" w:hAnsi="HelveticaNeueLT Std" w:cs="Arial"/>
                <w:bCs/>
                <w:sz w:val="20"/>
                <w:szCs w:val="20"/>
                <w:lang w:eastAsia="es-MX"/>
              </w:rPr>
              <w:t xml:space="preserve">Para efectos de las disposiciones a que se refieren los numerales que a continuación se enuncian, la </w:t>
            </w:r>
            <w:proofErr w:type="spellStart"/>
            <w:r w:rsidRPr="007823B4">
              <w:rPr>
                <w:rFonts w:ascii="HelveticaNeueLT Std" w:hAnsi="HelveticaNeueLT Std" w:cs="Arial"/>
                <w:bCs/>
                <w:sz w:val="20"/>
                <w:szCs w:val="20"/>
                <w:lang w:eastAsia="es-MX"/>
              </w:rPr>
              <w:t>UIPPE</w:t>
            </w:r>
            <w:proofErr w:type="spellEnd"/>
            <w:r w:rsidRPr="007823B4">
              <w:rPr>
                <w:rFonts w:ascii="HelveticaNeueLT Std" w:hAnsi="HelveticaNeueLT Std" w:cs="Arial"/>
                <w:bCs/>
                <w:sz w:val="20"/>
                <w:szCs w:val="20"/>
                <w:lang w:eastAsia="es-MX"/>
              </w:rPr>
              <w:t xml:space="preserve"> o área encargada de dichas funciones, en el ámbito de su competencia, deberá emitirlas en los siguientes plazos:</w:t>
            </w:r>
          </w:p>
          <w:p w14:paraId="603E7318" w14:textId="77777777" w:rsidR="00731765" w:rsidRPr="007823B4" w:rsidRDefault="00731765" w:rsidP="00731765">
            <w:pPr>
              <w:pStyle w:val="Prrafodelista"/>
              <w:rPr>
                <w:rFonts w:ascii="HelveticaNeueLT Std" w:hAnsi="HelveticaNeueLT Std" w:cs="Arial"/>
                <w:bCs/>
                <w:sz w:val="20"/>
                <w:szCs w:val="20"/>
                <w:lang w:eastAsia="es-MX"/>
              </w:rPr>
            </w:pPr>
          </w:p>
          <w:p w14:paraId="56D23EE0" w14:textId="77777777" w:rsidR="00731765" w:rsidRDefault="00731765" w:rsidP="00731765">
            <w:pPr>
              <w:pStyle w:val="Prrafodelista"/>
              <w:numPr>
                <w:ilvl w:val="0"/>
                <w:numId w:val="13"/>
              </w:numPr>
              <w:jc w:val="both"/>
              <w:rPr>
                <w:rFonts w:ascii="HelveticaNeueLT Std" w:hAnsi="HelveticaNeueLT Std" w:cs="Arial"/>
                <w:bCs/>
                <w:sz w:val="20"/>
                <w:szCs w:val="20"/>
                <w:lang w:eastAsia="es-MX"/>
              </w:rPr>
            </w:pPr>
            <w:r w:rsidRPr="004C103F">
              <w:rPr>
                <w:rFonts w:ascii="HelveticaNeueLT Std" w:hAnsi="HelveticaNeueLT Std" w:cs="Arial"/>
                <w:bCs/>
                <w:sz w:val="20"/>
                <w:szCs w:val="20"/>
                <w:lang w:eastAsia="es-MX"/>
              </w:rPr>
              <w:lastRenderedPageBreak/>
              <w:t>El Programa Anual de Evaluación para el ejercicio 2023, será publicado a más tardar el último día hábil del mes de abril de 2023, en términos de lo que establece el artículo 79 de la Ley General de Contabilidad Gubernamental.</w:t>
            </w:r>
          </w:p>
          <w:p w14:paraId="5AC30B70" w14:textId="77777777" w:rsidR="00731765" w:rsidRPr="004C103F" w:rsidRDefault="00731765" w:rsidP="00731765">
            <w:pPr>
              <w:pStyle w:val="Prrafodelista"/>
              <w:ind w:left="1080"/>
              <w:jc w:val="both"/>
              <w:rPr>
                <w:rFonts w:ascii="HelveticaNeueLT Std" w:hAnsi="HelveticaNeueLT Std" w:cs="Arial"/>
                <w:bCs/>
                <w:sz w:val="20"/>
                <w:szCs w:val="20"/>
                <w:lang w:eastAsia="es-MX"/>
              </w:rPr>
            </w:pPr>
            <w:r w:rsidRPr="004C103F">
              <w:rPr>
                <w:rFonts w:ascii="HelveticaNeueLT Std" w:hAnsi="HelveticaNeueLT Std" w:cs="Arial"/>
                <w:bCs/>
                <w:sz w:val="20"/>
                <w:szCs w:val="20"/>
                <w:lang w:eastAsia="es-MX"/>
              </w:rPr>
              <w:t xml:space="preserve"> </w:t>
            </w:r>
          </w:p>
          <w:p w14:paraId="079AAF64" w14:textId="77777777" w:rsidR="00731765" w:rsidRDefault="00731765" w:rsidP="00731765">
            <w:pPr>
              <w:pStyle w:val="Prrafodelista"/>
              <w:numPr>
                <w:ilvl w:val="0"/>
                <w:numId w:val="13"/>
              </w:numPr>
              <w:jc w:val="both"/>
              <w:rPr>
                <w:rFonts w:ascii="HelveticaNeueLT Std" w:hAnsi="HelveticaNeueLT Std" w:cs="Arial"/>
                <w:bCs/>
                <w:sz w:val="20"/>
                <w:szCs w:val="20"/>
                <w:lang w:eastAsia="es-MX"/>
              </w:rPr>
            </w:pPr>
            <w:r w:rsidRPr="004C103F">
              <w:rPr>
                <w:rFonts w:ascii="HelveticaNeueLT Std" w:hAnsi="HelveticaNeueLT Std" w:cs="Arial"/>
                <w:bCs/>
                <w:sz w:val="20"/>
                <w:szCs w:val="20"/>
                <w:lang w:eastAsia="es-MX"/>
              </w:rPr>
              <w:t xml:space="preserve">El Modelo de Convenio para la Mejora del Desempeño y Resultados Gubernamentales, deberá darse a conocer a más tardar el último día hábil del mes de julio de 2023. </w:t>
            </w:r>
          </w:p>
          <w:p w14:paraId="544751CA" w14:textId="77777777" w:rsidR="00731765" w:rsidRPr="004C103F" w:rsidRDefault="00731765" w:rsidP="00731765">
            <w:pPr>
              <w:pStyle w:val="Prrafodelista"/>
              <w:rPr>
                <w:rFonts w:ascii="HelveticaNeueLT Std" w:hAnsi="HelveticaNeueLT Std" w:cs="Arial"/>
                <w:bCs/>
                <w:sz w:val="20"/>
                <w:szCs w:val="20"/>
                <w:lang w:eastAsia="es-MX"/>
              </w:rPr>
            </w:pPr>
          </w:p>
          <w:p w14:paraId="4F1990A4" w14:textId="77777777" w:rsidR="00731765" w:rsidRPr="004C103F" w:rsidRDefault="00731765" w:rsidP="00731765">
            <w:pPr>
              <w:ind w:left="1056" w:hanging="284"/>
              <w:jc w:val="both"/>
              <w:rPr>
                <w:rFonts w:ascii="HelveticaNeueLT Std" w:hAnsi="HelveticaNeueLT Std" w:cs="Arial"/>
                <w:bCs/>
                <w:sz w:val="20"/>
                <w:szCs w:val="20"/>
                <w:lang w:eastAsia="es-MX"/>
              </w:rPr>
            </w:pPr>
            <w:r w:rsidRPr="004C103F">
              <w:rPr>
                <w:rFonts w:ascii="HelveticaNeueLT Std" w:hAnsi="HelveticaNeueLT Std" w:cs="Arial"/>
                <w:bCs/>
                <w:sz w:val="20"/>
                <w:szCs w:val="20"/>
                <w:lang w:eastAsia="es-MX"/>
              </w:rPr>
              <w:t xml:space="preserve">3) Los Modelos de Términos de Referencia, deberán darse a conocer a más </w:t>
            </w:r>
            <w:r>
              <w:rPr>
                <w:rFonts w:ascii="HelveticaNeueLT Std" w:hAnsi="HelveticaNeueLT Std" w:cs="Arial"/>
                <w:bCs/>
                <w:sz w:val="20"/>
                <w:szCs w:val="20"/>
                <w:lang w:eastAsia="es-MX"/>
              </w:rPr>
              <w:t xml:space="preserve">        </w:t>
            </w:r>
            <w:r w:rsidRPr="004C103F">
              <w:rPr>
                <w:rFonts w:ascii="HelveticaNeueLT Std" w:hAnsi="HelveticaNeueLT Std" w:cs="Arial"/>
                <w:bCs/>
                <w:sz w:val="20"/>
                <w:szCs w:val="20"/>
                <w:lang w:eastAsia="es-MX"/>
              </w:rPr>
              <w:t>tardar el último día hábil del mes de mayo de 2023.</w:t>
            </w:r>
          </w:p>
          <w:p w14:paraId="22CED0C0" w14:textId="77777777" w:rsidR="00731765" w:rsidRDefault="00731765" w:rsidP="00731765">
            <w:pPr>
              <w:pStyle w:val="Prrafodelista"/>
              <w:jc w:val="both"/>
              <w:rPr>
                <w:rFonts w:ascii="HelveticaNeueLT Std" w:hAnsi="HelveticaNeueLT Std" w:cs="Arial"/>
                <w:bCs/>
                <w:sz w:val="20"/>
                <w:szCs w:val="20"/>
                <w:lang w:eastAsia="es-MX"/>
              </w:rPr>
            </w:pPr>
          </w:p>
          <w:p w14:paraId="732B222D" w14:textId="77777777" w:rsidR="00731765" w:rsidRDefault="00731765" w:rsidP="00731765">
            <w:pPr>
              <w:pStyle w:val="Prrafodelista"/>
              <w:jc w:val="both"/>
              <w:rPr>
                <w:rFonts w:ascii="HelveticaNeueLT Std" w:hAnsi="HelveticaNeueLT Std" w:cs="Arial"/>
                <w:bCs/>
                <w:sz w:val="20"/>
                <w:szCs w:val="20"/>
                <w:lang w:eastAsia="es-MX"/>
              </w:rPr>
            </w:pPr>
          </w:p>
          <w:p w14:paraId="58CAFCAD" w14:textId="77777777" w:rsidR="00731765" w:rsidRDefault="00731765" w:rsidP="00731765">
            <w:pPr>
              <w:pStyle w:val="Prrafodelista"/>
              <w:numPr>
                <w:ilvl w:val="0"/>
                <w:numId w:val="14"/>
              </w:numPr>
              <w:jc w:val="both"/>
              <w:rPr>
                <w:rFonts w:ascii="HelveticaNeueLT Std" w:hAnsi="HelveticaNeueLT Std" w:cs="Arial"/>
                <w:bCs/>
                <w:sz w:val="20"/>
                <w:szCs w:val="20"/>
                <w:lang w:eastAsia="es-MX"/>
              </w:rPr>
            </w:pPr>
            <w:r w:rsidRPr="00C67335">
              <w:rPr>
                <w:rFonts w:ascii="HelveticaNeueLT Std" w:hAnsi="HelveticaNeueLT Std" w:cs="Arial"/>
                <w:bCs/>
                <w:sz w:val="20"/>
                <w:szCs w:val="20"/>
                <w:lang w:eastAsia="es-MX"/>
              </w:rPr>
              <w:t>En el ejercicio 2023, y para efectos de los numerales que a continuación se enuncian, los sujetos evaluados se sujetarán a lo siguiente:</w:t>
            </w:r>
          </w:p>
          <w:p w14:paraId="7E4C5B13" w14:textId="77777777" w:rsidR="00731765" w:rsidRDefault="00731765" w:rsidP="00731765">
            <w:pPr>
              <w:jc w:val="both"/>
              <w:rPr>
                <w:rFonts w:ascii="HelveticaNeueLT Std" w:hAnsi="HelveticaNeueLT Std" w:cs="Arial"/>
                <w:bCs/>
                <w:sz w:val="20"/>
                <w:szCs w:val="20"/>
                <w:lang w:eastAsia="es-MX"/>
              </w:rPr>
            </w:pPr>
          </w:p>
          <w:p w14:paraId="524EED20" w14:textId="77777777" w:rsidR="00731765" w:rsidRDefault="00731765" w:rsidP="00731765">
            <w:pPr>
              <w:ind w:left="1056" w:hanging="284"/>
              <w:jc w:val="both"/>
              <w:rPr>
                <w:rFonts w:ascii="HelveticaNeueLT Std" w:hAnsi="HelveticaNeueLT Std" w:cs="Arial"/>
                <w:bCs/>
                <w:sz w:val="20"/>
                <w:szCs w:val="20"/>
                <w:lang w:eastAsia="es-MX"/>
              </w:rPr>
            </w:pPr>
            <w:r w:rsidRPr="006C1354">
              <w:rPr>
                <w:rFonts w:ascii="HelveticaNeueLT Std" w:hAnsi="HelveticaNeueLT Std" w:cs="Arial"/>
                <w:bCs/>
                <w:sz w:val="20"/>
                <w:szCs w:val="20"/>
                <w:lang w:eastAsia="es-MX"/>
              </w:rPr>
              <w:t>1) Las Matrices de Indicadores para Resultados (MIR), deberán publicarse a más tardar 30 días hábiles después de la aprobación del Presupuesto de Egresos del ejercicio fiscal que corresponda, las cuales podrán actualizarse en función de las actualizaciones presupuestales del mes de febrero. La Contraloría Municipal supervisará la correcta publicación en la página Web del Municipio;</w:t>
            </w:r>
            <w:r>
              <w:rPr>
                <w:rFonts w:ascii="HelveticaNeueLT Std" w:hAnsi="HelveticaNeueLT Std" w:cs="Arial"/>
                <w:bCs/>
                <w:sz w:val="20"/>
                <w:szCs w:val="20"/>
                <w:lang w:eastAsia="es-MX"/>
              </w:rPr>
              <w:t xml:space="preserve"> </w:t>
            </w:r>
          </w:p>
          <w:p w14:paraId="38EBBCF7" w14:textId="77777777" w:rsidR="00731765" w:rsidRDefault="00731765" w:rsidP="00731765">
            <w:pPr>
              <w:ind w:left="1056" w:hanging="284"/>
              <w:jc w:val="both"/>
              <w:rPr>
                <w:rFonts w:ascii="HelveticaNeueLT Std" w:hAnsi="HelveticaNeueLT Std" w:cs="Arial"/>
                <w:bCs/>
                <w:sz w:val="20"/>
                <w:szCs w:val="20"/>
                <w:lang w:eastAsia="es-MX"/>
              </w:rPr>
            </w:pPr>
          </w:p>
          <w:p w14:paraId="46BD2F7D" w14:textId="77777777" w:rsidR="00731765" w:rsidRDefault="00731765" w:rsidP="00731765">
            <w:pPr>
              <w:ind w:left="1056" w:hanging="284"/>
              <w:jc w:val="both"/>
              <w:rPr>
                <w:rFonts w:ascii="HelveticaNeueLT Std" w:hAnsi="HelveticaNeueLT Std" w:cs="Arial"/>
                <w:bCs/>
                <w:sz w:val="20"/>
                <w:szCs w:val="20"/>
                <w:lang w:eastAsia="es-MX"/>
              </w:rPr>
            </w:pPr>
            <w:r w:rsidRPr="006C1354">
              <w:rPr>
                <w:rFonts w:ascii="HelveticaNeueLT Std" w:hAnsi="HelveticaNeueLT Std" w:cs="Arial"/>
                <w:bCs/>
                <w:sz w:val="20"/>
                <w:szCs w:val="20"/>
                <w:lang w:eastAsia="es-MX"/>
              </w:rPr>
              <w:t xml:space="preserve">2) En el caso de los programas que iniciaron su operación en el ejercicio de 2023, deberán entregar el análisis a que se hace referencia la disposición Decima Novena, así como la evaluación señalada en el mismo lineamiento, a más tardar el último día hábil de mayo de 2023 a la </w:t>
            </w:r>
            <w:proofErr w:type="spellStart"/>
            <w:r w:rsidRPr="006C1354">
              <w:rPr>
                <w:rFonts w:ascii="HelveticaNeueLT Std" w:hAnsi="HelveticaNeueLT Std" w:cs="Arial"/>
                <w:bCs/>
                <w:sz w:val="20"/>
                <w:szCs w:val="20"/>
                <w:lang w:eastAsia="es-MX"/>
              </w:rPr>
              <w:t>UIPPE</w:t>
            </w:r>
            <w:proofErr w:type="spellEnd"/>
            <w:r w:rsidRPr="006C1354">
              <w:rPr>
                <w:rFonts w:ascii="HelveticaNeueLT Std" w:hAnsi="HelveticaNeueLT Std" w:cs="Arial"/>
                <w:bCs/>
                <w:sz w:val="20"/>
                <w:szCs w:val="20"/>
                <w:lang w:eastAsia="es-MX"/>
              </w:rPr>
              <w:t xml:space="preserve"> o área encargada de esas funciones;</w:t>
            </w:r>
          </w:p>
          <w:p w14:paraId="62D3AD7E" w14:textId="77777777" w:rsidR="00731765" w:rsidRDefault="00731765" w:rsidP="00731765">
            <w:pPr>
              <w:ind w:left="1056" w:hanging="284"/>
              <w:jc w:val="both"/>
              <w:rPr>
                <w:rFonts w:ascii="HelveticaNeueLT Std" w:hAnsi="HelveticaNeueLT Std" w:cs="Arial"/>
                <w:bCs/>
                <w:sz w:val="20"/>
                <w:szCs w:val="20"/>
                <w:lang w:eastAsia="es-MX"/>
              </w:rPr>
            </w:pPr>
          </w:p>
          <w:p w14:paraId="6DB3A7DE" w14:textId="77777777" w:rsidR="00731765" w:rsidRDefault="00731765" w:rsidP="00731765">
            <w:pPr>
              <w:ind w:left="1056" w:hanging="284"/>
              <w:jc w:val="both"/>
              <w:rPr>
                <w:rFonts w:ascii="HelveticaNeueLT Std" w:hAnsi="HelveticaNeueLT Std" w:cs="Arial"/>
                <w:bCs/>
                <w:sz w:val="20"/>
                <w:szCs w:val="20"/>
                <w:lang w:eastAsia="es-MX"/>
              </w:rPr>
            </w:pPr>
            <w:r w:rsidRPr="006C1354">
              <w:rPr>
                <w:rFonts w:ascii="HelveticaNeueLT Std" w:hAnsi="HelveticaNeueLT Std" w:cs="Arial"/>
                <w:bCs/>
                <w:sz w:val="20"/>
                <w:szCs w:val="20"/>
                <w:lang w:eastAsia="es-MX"/>
              </w:rPr>
              <w:t>3) Deberán dar a conocer de forma permanente a través de la página de Internet del Municipio, en un lugar visible y de fácil acceso, los documentos y resultados de todas las evaluaciones externas existentes de los Programas presupuestarios a que se refiere la disposición Vigésima Cuarta y Vigésima Quinta, a más tardar 30 días hábiles después de la conclusión de las evaluaciones</w:t>
            </w:r>
            <w:r>
              <w:rPr>
                <w:rFonts w:ascii="HelveticaNeueLT Std" w:hAnsi="HelveticaNeueLT Std" w:cs="Arial"/>
                <w:bCs/>
                <w:sz w:val="20"/>
                <w:szCs w:val="20"/>
                <w:lang w:eastAsia="es-MX"/>
              </w:rPr>
              <w:t>.</w:t>
            </w:r>
          </w:p>
          <w:p w14:paraId="203BDB79" w14:textId="77777777" w:rsidR="00731765" w:rsidRDefault="00731765" w:rsidP="00731765">
            <w:pPr>
              <w:jc w:val="both"/>
              <w:rPr>
                <w:rFonts w:ascii="HelveticaNeueLT Std" w:hAnsi="HelveticaNeueLT Std" w:cs="Arial"/>
                <w:bCs/>
                <w:sz w:val="20"/>
                <w:szCs w:val="20"/>
                <w:lang w:eastAsia="es-MX"/>
              </w:rPr>
            </w:pPr>
          </w:p>
          <w:p w14:paraId="140C28F2" w14:textId="77777777" w:rsidR="00731765" w:rsidRDefault="00731765" w:rsidP="00731765">
            <w:pPr>
              <w:pStyle w:val="Prrafodelista"/>
              <w:jc w:val="both"/>
              <w:rPr>
                <w:rFonts w:ascii="HelveticaNeueLT Std" w:hAnsi="HelveticaNeueLT Std" w:cs="Arial"/>
                <w:bCs/>
                <w:sz w:val="20"/>
                <w:szCs w:val="20"/>
                <w:lang w:eastAsia="es-MX"/>
              </w:rPr>
            </w:pPr>
          </w:p>
        </w:tc>
      </w:tr>
      <w:tr w:rsidR="00731765" w:rsidRPr="009E299E" w14:paraId="68C7BEF2" w14:textId="77777777" w:rsidTr="00731765">
        <w:trPr>
          <w:trHeight w:val="117"/>
          <w:jc w:val="center"/>
        </w:trPr>
        <w:tc>
          <w:tcPr>
            <w:tcW w:w="567" w:type="dxa"/>
            <w:tcBorders>
              <w:top w:val="single" w:sz="4" w:space="0" w:color="auto"/>
              <w:bottom w:val="nil"/>
            </w:tcBorders>
          </w:tcPr>
          <w:p w14:paraId="7816D75D" w14:textId="77777777" w:rsidR="00731765" w:rsidRDefault="00731765" w:rsidP="00F458DC">
            <w:pPr>
              <w:spacing w:line="276" w:lineRule="auto"/>
              <w:rPr>
                <w:rFonts w:ascii="HelveticaNeueLT Std" w:hAnsi="HelveticaNeueLT Std" w:cs="Arial"/>
                <w:b/>
                <w:bCs/>
                <w:sz w:val="20"/>
                <w:szCs w:val="20"/>
              </w:rPr>
            </w:pPr>
          </w:p>
        </w:tc>
        <w:tc>
          <w:tcPr>
            <w:tcW w:w="2410" w:type="dxa"/>
            <w:tcBorders>
              <w:top w:val="single" w:sz="4" w:space="0" w:color="auto"/>
              <w:bottom w:val="nil"/>
            </w:tcBorders>
          </w:tcPr>
          <w:p w14:paraId="1F50FAE1" w14:textId="77777777" w:rsidR="00731765" w:rsidRDefault="00731765"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00B55964" w14:textId="77777777" w:rsidR="00731765" w:rsidRDefault="00731765" w:rsidP="00432A8C">
            <w:pPr>
              <w:spacing w:before="225" w:after="225" w:line="276" w:lineRule="auto"/>
              <w:jc w:val="both"/>
            </w:pPr>
          </w:p>
        </w:tc>
        <w:tc>
          <w:tcPr>
            <w:tcW w:w="7938" w:type="dxa"/>
            <w:tcBorders>
              <w:top w:val="single" w:sz="4" w:space="0" w:color="auto"/>
              <w:bottom w:val="nil"/>
            </w:tcBorders>
          </w:tcPr>
          <w:p w14:paraId="6F6645F1" w14:textId="77777777" w:rsidR="00731765" w:rsidRPr="006C1354" w:rsidRDefault="00731765" w:rsidP="00731765">
            <w:pPr>
              <w:pStyle w:val="Prrafodelista"/>
              <w:numPr>
                <w:ilvl w:val="0"/>
                <w:numId w:val="15"/>
              </w:numPr>
              <w:jc w:val="both"/>
              <w:rPr>
                <w:rFonts w:ascii="HelveticaNeueLT Std" w:hAnsi="HelveticaNeueLT Std" w:cs="Arial"/>
                <w:bCs/>
                <w:sz w:val="20"/>
                <w:szCs w:val="20"/>
                <w:lang w:eastAsia="es-MX"/>
              </w:rPr>
            </w:pPr>
            <w:r w:rsidRPr="006C1354">
              <w:rPr>
                <w:rFonts w:ascii="HelveticaNeueLT Std" w:hAnsi="HelveticaNeueLT Std" w:cs="Arial"/>
                <w:bCs/>
                <w:sz w:val="20"/>
                <w:szCs w:val="20"/>
                <w:lang w:eastAsia="es-MX"/>
              </w:rPr>
              <w:t>Los presentes lineamientos se aplicarán en los subsecuentes ejercicios, en términos del marco legal vigente aplicable, en lo que no contravengan al mismo, y en tanto no se emitan nuevos lineamientos.</w:t>
            </w:r>
          </w:p>
          <w:p w14:paraId="48330807" w14:textId="77777777" w:rsidR="00731765" w:rsidRPr="00731765" w:rsidRDefault="00731765" w:rsidP="00731765">
            <w:pPr>
              <w:rPr>
                <w:rFonts w:ascii="HelveticaNeueLT Std" w:hAnsi="HelveticaNeueLT Std" w:cs="Arial"/>
                <w:bCs/>
                <w:sz w:val="20"/>
                <w:szCs w:val="20"/>
                <w:lang w:eastAsia="es-MX"/>
              </w:rPr>
            </w:pPr>
          </w:p>
        </w:tc>
      </w:tr>
      <w:tr w:rsidR="00727CD4" w:rsidRPr="009E299E" w14:paraId="780187FC" w14:textId="77777777" w:rsidTr="00731765">
        <w:trPr>
          <w:trHeight w:val="117"/>
          <w:jc w:val="center"/>
        </w:trPr>
        <w:tc>
          <w:tcPr>
            <w:tcW w:w="567" w:type="dxa"/>
            <w:tcBorders>
              <w:top w:val="nil"/>
              <w:bottom w:val="single" w:sz="4" w:space="0" w:color="auto"/>
            </w:tcBorders>
          </w:tcPr>
          <w:p w14:paraId="6DD17BFA" w14:textId="77777777" w:rsidR="00727CD4" w:rsidRDefault="00727CD4"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188E182A" w14:textId="77777777" w:rsidR="00727CD4" w:rsidRDefault="00727CD4" w:rsidP="00A84D2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1E41BDEE" w14:textId="17CC841C" w:rsidR="00727CD4" w:rsidRDefault="006821BC" w:rsidP="009B33FD">
            <w:pPr>
              <w:spacing w:before="225" w:after="225" w:line="276" w:lineRule="auto"/>
              <w:jc w:val="both"/>
            </w:pPr>
            <w:hyperlink r:id="rId14" w:tgtFrame="_blank" w:history="1">
              <w:r w:rsidR="0066617C" w:rsidRPr="0066617C">
                <w:rPr>
                  <w:rFonts w:ascii="HelveticaNeueLT Std" w:hAnsi="HelveticaNeueLT Std" w:cs="Arial"/>
                  <w:b/>
                  <w:bCs/>
                  <w:sz w:val="20"/>
                  <w:szCs w:val="20"/>
                </w:rPr>
                <w:t>Acuerdo 10/2022.- Por el que se emite la calendarización para la entrega del tercer informe trimestral de las entidades fiscalizables del Estado de México del ejercicio fiscal 2022.</w:t>
              </w:r>
            </w:hyperlink>
          </w:p>
        </w:tc>
        <w:tc>
          <w:tcPr>
            <w:tcW w:w="7938" w:type="dxa"/>
            <w:tcBorders>
              <w:top w:val="nil"/>
              <w:bottom w:val="single" w:sz="4" w:space="0" w:color="auto"/>
            </w:tcBorders>
          </w:tcPr>
          <w:p w14:paraId="1B764FCA" w14:textId="77777777" w:rsidR="00493071" w:rsidRDefault="00493071" w:rsidP="00493071">
            <w:pPr>
              <w:jc w:val="both"/>
              <w:rPr>
                <w:rFonts w:ascii="HelveticaNeueLT Std" w:hAnsi="HelveticaNeueLT Std" w:cs="Arial"/>
                <w:bCs/>
                <w:sz w:val="20"/>
                <w:szCs w:val="20"/>
                <w:lang w:eastAsia="es-MX"/>
              </w:rPr>
            </w:pPr>
          </w:p>
          <w:p w14:paraId="084BE8C8" w14:textId="2B17E84D" w:rsidR="00493071" w:rsidRPr="00BE69EA" w:rsidRDefault="00493071" w:rsidP="00493071">
            <w:pPr>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 xml:space="preserve">A través </w:t>
            </w:r>
            <w:r w:rsidR="00795335">
              <w:rPr>
                <w:rFonts w:ascii="HelveticaNeueLT Std" w:hAnsi="HelveticaNeueLT Std" w:cs="Arial"/>
                <w:bCs/>
                <w:sz w:val="20"/>
                <w:szCs w:val="20"/>
                <w:lang w:eastAsia="es-MX"/>
              </w:rPr>
              <w:t xml:space="preserve">del presente </w:t>
            </w:r>
            <w:r>
              <w:rPr>
                <w:rFonts w:ascii="HelveticaNeueLT Std" w:hAnsi="HelveticaNeueLT Std" w:cs="Arial"/>
                <w:bCs/>
                <w:sz w:val="20"/>
                <w:szCs w:val="20"/>
                <w:lang w:eastAsia="es-MX"/>
              </w:rPr>
              <w:t>Acuerdo</w:t>
            </w:r>
            <w:r w:rsidRPr="00BE69EA">
              <w:rPr>
                <w:rFonts w:ascii="HelveticaNeueLT Std" w:hAnsi="HelveticaNeueLT Std" w:cs="Arial"/>
                <w:bCs/>
                <w:sz w:val="20"/>
                <w:szCs w:val="20"/>
                <w:lang w:eastAsia="es-MX"/>
              </w:rPr>
              <w:t xml:space="preserve"> se establece:</w:t>
            </w:r>
          </w:p>
          <w:p w14:paraId="16AE0643" w14:textId="77777777" w:rsidR="00727CD4" w:rsidRDefault="00727CD4" w:rsidP="00CA7468">
            <w:pPr>
              <w:jc w:val="both"/>
              <w:rPr>
                <w:rFonts w:ascii="HelveticaNeueLT Std" w:hAnsi="HelveticaNeueLT Std" w:cs="Arial"/>
                <w:bCs/>
                <w:sz w:val="20"/>
                <w:szCs w:val="20"/>
                <w:lang w:eastAsia="es-MX"/>
              </w:rPr>
            </w:pPr>
          </w:p>
          <w:p w14:paraId="187A528E" w14:textId="67BDA43C" w:rsidR="00493071" w:rsidRDefault="00493071" w:rsidP="006B2330">
            <w:pPr>
              <w:pStyle w:val="Prrafodelista"/>
              <w:numPr>
                <w:ilvl w:val="0"/>
                <w:numId w:val="6"/>
              </w:numPr>
              <w:jc w:val="both"/>
              <w:rPr>
                <w:rFonts w:ascii="HelveticaNeueLT Std" w:hAnsi="HelveticaNeueLT Std" w:cs="Arial"/>
                <w:bCs/>
                <w:sz w:val="20"/>
                <w:szCs w:val="20"/>
                <w:lang w:eastAsia="es-MX"/>
              </w:rPr>
            </w:pPr>
            <w:r w:rsidRPr="00493071">
              <w:rPr>
                <w:rFonts w:ascii="HelveticaNeueLT Std" w:hAnsi="HelveticaNeueLT Std" w:cs="Arial"/>
                <w:bCs/>
                <w:sz w:val="20"/>
                <w:szCs w:val="20"/>
                <w:lang w:eastAsia="es-MX"/>
              </w:rPr>
              <w:t>Los Informes Trimestrales de las entidades fiscalizables estatales y municipales se deben realizar conforme al requerimiento anual para la entrega de obligaciones periódicas del ejercicio fiscal 2022 y los Lineamientos para la integración y entrega del Informe Trimestral Municipal 2022, y Lineamientos para la integración y entrega del Informe Trimestral Estatal 2022.</w:t>
            </w:r>
          </w:p>
          <w:p w14:paraId="7B4D7BA1" w14:textId="77777777" w:rsidR="00493071" w:rsidRDefault="00493071" w:rsidP="00493071">
            <w:pPr>
              <w:pStyle w:val="Prrafodelista"/>
              <w:jc w:val="both"/>
              <w:rPr>
                <w:rFonts w:ascii="HelveticaNeueLT Std" w:hAnsi="HelveticaNeueLT Std" w:cs="Arial"/>
                <w:bCs/>
                <w:sz w:val="20"/>
                <w:szCs w:val="20"/>
                <w:lang w:eastAsia="es-MX"/>
              </w:rPr>
            </w:pPr>
          </w:p>
          <w:p w14:paraId="04FAA34E" w14:textId="18BA8018" w:rsidR="00493071" w:rsidRDefault="00493071" w:rsidP="006B2330">
            <w:pPr>
              <w:pStyle w:val="Prrafodelista"/>
              <w:numPr>
                <w:ilvl w:val="0"/>
                <w:numId w:val="6"/>
              </w:numPr>
              <w:jc w:val="both"/>
              <w:rPr>
                <w:rFonts w:ascii="HelveticaNeueLT Std" w:hAnsi="HelveticaNeueLT Std" w:cs="Arial"/>
                <w:bCs/>
                <w:sz w:val="20"/>
                <w:szCs w:val="20"/>
                <w:lang w:eastAsia="es-MX"/>
              </w:rPr>
            </w:pPr>
            <w:r w:rsidRPr="00493071">
              <w:rPr>
                <w:rFonts w:ascii="HelveticaNeueLT Std" w:hAnsi="HelveticaNeueLT Std" w:cs="Arial"/>
                <w:bCs/>
                <w:sz w:val="20"/>
                <w:szCs w:val="20"/>
                <w:lang w:eastAsia="es-MX"/>
              </w:rPr>
              <w:t>La entrega del Tercer Informe Trimestral de las entidades fiscalizables estatales y municipales correspondiente a los meses de julio, agosto y septiembre del ejercicio fiscal 2022, se realizará en la Oficialía de Partes del Órgano Superior de Fiscalización del Estado de México, ubicada en Calle Mariano Matamoros, número 106, Delegación Centro Histórico, Colonia Centro, Toluca de Lerdo, Estado de México, Código Postal 50000; en un horario de 9:00 a 18:00 horas, en las fechas y orden establecidos en la calendarización del ANEXO ÚNICO de este Acuerdo, al cual debe darse estricto cumplimiento.</w:t>
            </w:r>
          </w:p>
          <w:p w14:paraId="569CF4C1" w14:textId="77777777" w:rsidR="00493071" w:rsidRPr="00493071" w:rsidRDefault="00493071" w:rsidP="00493071">
            <w:pPr>
              <w:pStyle w:val="Prrafodelista"/>
              <w:rPr>
                <w:rFonts w:ascii="HelveticaNeueLT Std" w:hAnsi="HelveticaNeueLT Std" w:cs="Arial"/>
                <w:bCs/>
                <w:sz w:val="20"/>
                <w:szCs w:val="20"/>
                <w:lang w:eastAsia="es-MX"/>
              </w:rPr>
            </w:pPr>
          </w:p>
          <w:p w14:paraId="6716855C" w14:textId="6C62494D" w:rsidR="00493071" w:rsidRDefault="00493071" w:rsidP="006B2330">
            <w:pPr>
              <w:pStyle w:val="Prrafodelista"/>
              <w:numPr>
                <w:ilvl w:val="0"/>
                <w:numId w:val="6"/>
              </w:numPr>
              <w:jc w:val="both"/>
              <w:rPr>
                <w:rFonts w:ascii="HelveticaNeueLT Std" w:hAnsi="HelveticaNeueLT Std" w:cs="Arial"/>
                <w:bCs/>
                <w:sz w:val="20"/>
                <w:szCs w:val="20"/>
                <w:lang w:eastAsia="es-MX"/>
              </w:rPr>
            </w:pPr>
            <w:r w:rsidRPr="00493071">
              <w:rPr>
                <w:rFonts w:ascii="HelveticaNeueLT Std" w:hAnsi="HelveticaNeueLT Std" w:cs="Arial"/>
                <w:bCs/>
                <w:sz w:val="20"/>
                <w:szCs w:val="20"/>
                <w:lang w:eastAsia="es-MX"/>
              </w:rPr>
              <w:t>Los Informes Trimestrales de las entidades fiscalizables estatales y municipales, deben entregarse de forma completa, veraz, oportuna y correcta, que guarden plena relación con lo requerido, sin actos de simulación que entorpezcan y obstaculicen la actividad fiscalizadora de este Órgano Superior de Fiscalización del Estado de México.</w:t>
            </w:r>
          </w:p>
          <w:p w14:paraId="7727A1D0" w14:textId="77777777" w:rsidR="00493071" w:rsidRPr="00493071" w:rsidRDefault="00493071" w:rsidP="00493071">
            <w:pPr>
              <w:pStyle w:val="Prrafodelista"/>
              <w:rPr>
                <w:rFonts w:ascii="HelveticaNeueLT Std" w:hAnsi="HelveticaNeueLT Std" w:cs="Arial"/>
                <w:bCs/>
                <w:sz w:val="20"/>
                <w:szCs w:val="20"/>
                <w:lang w:eastAsia="es-MX"/>
              </w:rPr>
            </w:pPr>
          </w:p>
          <w:p w14:paraId="5422A5D5" w14:textId="19C009C7" w:rsidR="00493071" w:rsidRDefault="00493071" w:rsidP="006B2330">
            <w:pPr>
              <w:pStyle w:val="Prrafodelista"/>
              <w:numPr>
                <w:ilvl w:val="0"/>
                <w:numId w:val="6"/>
              </w:numPr>
              <w:jc w:val="both"/>
              <w:rPr>
                <w:rFonts w:ascii="HelveticaNeueLT Std" w:hAnsi="HelveticaNeueLT Std" w:cs="Arial"/>
                <w:bCs/>
                <w:sz w:val="20"/>
                <w:szCs w:val="20"/>
                <w:lang w:eastAsia="es-MX"/>
              </w:rPr>
            </w:pPr>
            <w:r w:rsidRPr="00493071">
              <w:rPr>
                <w:rFonts w:ascii="HelveticaNeueLT Std" w:hAnsi="HelveticaNeueLT Std" w:cs="Arial"/>
                <w:bCs/>
                <w:sz w:val="20"/>
                <w:szCs w:val="20"/>
                <w:lang w:eastAsia="es-MX"/>
              </w:rPr>
              <w:t>El Órgano Superior de Fiscalización del Estado de México, durante el proceso de revisión y fiscalización, y ante la inobservancia a los requerimientos y/o solicitudes de información y soporte documental por parte de las entidades fiscalizables, además de imponer por cada incumplimiento el medio de apremio correspondiente, se promoverán las responsabilidades administrativas y/o penales, en términos de la Ley General de Responsabilidades Administrativas, Ley de Responsabilidades Administrativas del Estado de México y Municipios, y la legislación penal aplicable.</w:t>
            </w:r>
          </w:p>
          <w:p w14:paraId="4595ECA6" w14:textId="77777777" w:rsidR="00493071" w:rsidRPr="00493071" w:rsidRDefault="00493071" w:rsidP="00493071">
            <w:pPr>
              <w:pStyle w:val="Prrafodelista"/>
              <w:rPr>
                <w:rFonts w:ascii="HelveticaNeueLT Std" w:hAnsi="HelveticaNeueLT Std" w:cs="Arial"/>
                <w:bCs/>
                <w:sz w:val="20"/>
                <w:szCs w:val="20"/>
                <w:lang w:eastAsia="es-MX"/>
              </w:rPr>
            </w:pPr>
          </w:p>
          <w:p w14:paraId="5B200F8D" w14:textId="536B9301" w:rsidR="00493071" w:rsidRPr="00731765" w:rsidRDefault="00493071" w:rsidP="00731765">
            <w:pPr>
              <w:pStyle w:val="Prrafodelista"/>
              <w:numPr>
                <w:ilvl w:val="0"/>
                <w:numId w:val="6"/>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Este Acuerdo entrará </w:t>
            </w:r>
            <w:r w:rsidR="00055617">
              <w:rPr>
                <w:rFonts w:ascii="HelveticaNeueLT Std" w:hAnsi="HelveticaNeueLT Std" w:cs="Arial"/>
                <w:bCs/>
                <w:sz w:val="20"/>
                <w:szCs w:val="20"/>
                <w:lang w:eastAsia="es-MX"/>
              </w:rPr>
              <w:t xml:space="preserve">en vigor </w:t>
            </w:r>
            <w:r>
              <w:rPr>
                <w:rFonts w:ascii="HelveticaNeueLT Std" w:hAnsi="HelveticaNeueLT Std" w:cs="Arial"/>
                <w:bCs/>
                <w:sz w:val="20"/>
                <w:szCs w:val="20"/>
                <w:lang w:eastAsia="es-MX"/>
              </w:rPr>
              <w:t>el día once de septiembre de dos mil veintidós.</w:t>
            </w:r>
          </w:p>
        </w:tc>
      </w:tr>
      <w:tr w:rsidR="00644FE0" w:rsidRPr="009E299E" w14:paraId="0F5BC93A" w14:textId="77777777" w:rsidTr="00731765">
        <w:trPr>
          <w:trHeight w:val="117"/>
          <w:jc w:val="center"/>
        </w:trPr>
        <w:tc>
          <w:tcPr>
            <w:tcW w:w="567" w:type="dxa"/>
            <w:tcBorders>
              <w:top w:val="single" w:sz="4" w:space="0" w:color="auto"/>
              <w:bottom w:val="single" w:sz="4" w:space="0" w:color="auto"/>
            </w:tcBorders>
          </w:tcPr>
          <w:p w14:paraId="1B589A56" w14:textId="7DEF3643" w:rsidR="00644FE0" w:rsidRDefault="00A73EBE"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69</w:t>
            </w:r>
          </w:p>
        </w:tc>
        <w:tc>
          <w:tcPr>
            <w:tcW w:w="2410" w:type="dxa"/>
            <w:tcBorders>
              <w:top w:val="single" w:sz="4" w:space="0" w:color="auto"/>
              <w:bottom w:val="single" w:sz="4" w:space="0" w:color="auto"/>
            </w:tcBorders>
          </w:tcPr>
          <w:p w14:paraId="0627BAB7" w14:textId="71F0DAA5" w:rsidR="00644FE0" w:rsidRPr="006F723B" w:rsidRDefault="00644FE0" w:rsidP="00644FE0">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13-octubre-2022</w:t>
            </w:r>
          </w:p>
          <w:p w14:paraId="3D32BB06" w14:textId="77777777" w:rsidR="00644FE0" w:rsidRPr="006F723B" w:rsidRDefault="00644FE0" w:rsidP="00644FE0">
            <w:pPr>
              <w:spacing w:line="276" w:lineRule="auto"/>
              <w:ind w:left="17"/>
              <w:jc w:val="center"/>
              <w:rPr>
                <w:rFonts w:ascii="HelveticaNeueLT Std" w:hAnsi="HelveticaNeueLT Std" w:cs="Arial"/>
                <w:b/>
                <w:sz w:val="20"/>
                <w:szCs w:val="20"/>
              </w:rPr>
            </w:pPr>
          </w:p>
          <w:p w14:paraId="5E3DA607" w14:textId="77777777" w:rsidR="00644FE0" w:rsidRPr="006F723B" w:rsidRDefault="00644FE0" w:rsidP="00644FE0">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Sección</w:t>
            </w:r>
          </w:p>
          <w:p w14:paraId="7E173401" w14:textId="77777777" w:rsidR="00644FE0" w:rsidRPr="006F723B" w:rsidRDefault="00644FE0" w:rsidP="00644FE0">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Primera</w:t>
            </w:r>
          </w:p>
          <w:p w14:paraId="31258978" w14:textId="77777777" w:rsidR="00644FE0" w:rsidRPr="006F723B" w:rsidRDefault="00644FE0" w:rsidP="00A84D2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8178B3A" w14:textId="326F323E" w:rsidR="00644FE0" w:rsidRPr="006F723B" w:rsidRDefault="006821BC" w:rsidP="009B33FD">
            <w:pPr>
              <w:spacing w:before="225" w:after="225" w:line="276" w:lineRule="auto"/>
              <w:jc w:val="both"/>
              <w:rPr>
                <w:rFonts w:ascii="HelveticaNeueLT Std" w:hAnsi="HelveticaNeueLT Std" w:cs="Arial"/>
                <w:b/>
                <w:bCs/>
                <w:sz w:val="20"/>
                <w:szCs w:val="20"/>
              </w:rPr>
            </w:pPr>
            <w:hyperlink r:id="rId15" w:tgtFrame="_blank" w:history="1">
              <w:r w:rsidR="00644FE0" w:rsidRPr="006F723B">
                <w:rPr>
                  <w:rFonts w:ascii="HelveticaNeueLT Std" w:hAnsi="HelveticaNeueLT Std" w:cs="Arial"/>
                  <w:b/>
                  <w:bCs/>
                  <w:sz w:val="20"/>
                  <w:szCs w:val="20"/>
                </w:rPr>
                <w:t>Acuerdo por el que se dan a conocer las participaciones federales y estatales pagadas a los municipios del Estado de México correspondientes al periodo de julio a septiembre del ejercicio fiscal 2022.</w:t>
              </w:r>
            </w:hyperlink>
          </w:p>
        </w:tc>
        <w:tc>
          <w:tcPr>
            <w:tcW w:w="7938" w:type="dxa"/>
            <w:tcBorders>
              <w:top w:val="single" w:sz="4" w:space="0" w:color="auto"/>
              <w:bottom w:val="single" w:sz="4" w:space="0" w:color="auto"/>
            </w:tcBorders>
          </w:tcPr>
          <w:p w14:paraId="1693FA09" w14:textId="77777777" w:rsidR="00644FE0" w:rsidRDefault="00644FE0" w:rsidP="00644FE0">
            <w:pPr>
              <w:jc w:val="both"/>
              <w:rPr>
                <w:rFonts w:ascii="HelveticaNeueLT Std" w:hAnsi="HelveticaNeueLT Std" w:cs="Arial"/>
                <w:bCs/>
                <w:sz w:val="20"/>
                <w:szCs w:val="20"/>
                <w:lang w:eastAsia="es-MX"/>
              </w:rPr>
            </w:pPr>
          </w:p>
          <w:p w14:paraId="7B366843" w14:textId="75F9D04F" w:rsidR="00644FE0" w:rsidRDefault="00644FE0" w:rsidP="00644FE0">
            <w:pPr>
              <w:jc w:val="both"/>
              <w:rPr>
                <w:rFonts w:ascii="HelveticaNeueLT Std" w:hAnsi="HelveticaNeueLT Std" w:cs="Arial"/>
                <w:bCs/>
                <w:sz w:val="20"/>
                <w:szCs w:val="20"/>
                <w:lang w:eastAsia="es-MX"/>
              </w:rPr>
            </w:pPr>
            <w:r w:rsidRPr="00BE69EA">
              <w:rPr>
                <w:rFonts w:ascii="HelveticaNeueLT Std" w:hAnsi="HelveticaNeueLT Std" w:cs="Arial"/>
                <w:bCs/>
                <w:sz w:val="20"/>
                <w:szCs w:val="20"/>
                <w:lang w:eastAsia="es-MX"/>
              </w:rPr>
              <w:t xml:space="preserve">A través </w:t>
            </w:r>
            <w:r>
              <w:rPr>
                <w:rFonts w:ascii="HelveticaNeueLT Std" w:hAnsi="HelveticaNeueLT Std" w:cs="Arial"/>
                <w:bCs/>
                <w:sz w:val="20"/>
                <w:szCs w:val="20"/>
                <w:lang w:eastAsia="es-MX"/>
              </w:rPr>
              <w:t>del presente Acuerdo</w:t>
            </w:r>
            <w:r w:rsidRPr="00BE69EA">
              <w:rPr>
                <w:rFonts w:ascii="HelveticaNeueLT Std" w:hAnsi="HelveticaNeueLT Std" w:cs="Arial"/>
                <w:bCs/>
                <w:sz w:val="20"/>
                <w:szCs w:val="20"/>
                <w:lang w:eastAsia="es-MX"/>
              </w:rPr>
              <w:t xml:space="preserve"> </w:t>
            </w:r>
            <w:r w:rsidR="00FF51BB">
              <w:rPr>
                <w:rFonts w:ascii="HelveticaNeueLT Std" w:hAnsi="HelveticaNeueLT Std" w:cs="Arial"/>
                <w:bCs/>
                <w:sz w:val="20"/>
                <w:szCs w:val="20"/>
                <w:lang w:eastAsia="es-MX"/>
              </w:rPr>
              <w:t>se da a conocer</w:t>
            </w:r>
            <w:r w:rsidRPr="00BE69EA">
              <w:rPr>
                <w:rFonts w:ascii="HelveticaNeueLT Std" w:hAnsi="HelveticaNeueLT Std" w:cs="Arial"/>
                <w:bCs/>
                <w:sz w:val="20"/>
                <w:szCs w:val="20"/>
                <w:lang w:eastAsia="es-MX"/>
              </w:rPr>
              <w:t>:</w:t>
            </w:r>
          </w:p>
          <w:p w14:paraId="20C14043" w14:textId="212C8897" w:rsidR="008D2CCF" w:rsidRDefault="008D2CCF" w:rsidP="00644FE0">
            <w:pPr>
              <w:jc w:val="both"/>
              <w:rPr>
                <w:rFonts w:ascii="HelveticaNeueLT Std" w:hAnsi="HelveticaNeueLT Std" w:cs="Arial"/>
                <w:bCs/>
                <w:sz w:val="20"/>
                <w:szCs w:val="20"/>
                <w:lang w:eastAsia="es-MX"/>
              </w:rPr>
            </w:pPr>
          </w:p>
          <w:p w14:paraId="4480CFBD" w14:textId="291A3F5C" w:rsidR="008D2CCF" w:rsidRPr="00310D88" w:rsidRDefault="00A01A08" w:rsidP="00310D88">
            <w:pPr>
              <w:pStyle w:val="Prrafodelista"/>
              <w:numPr>
                <w:ilvl w:val="0"/>
                <w:numId w:val="16"/>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w:t>
            </w:r>
            <w:r w:rsidR="008D2CCF" w:rsidRPr="00310D88">
              <w:rPr>
                <w:rFonts w:ascii="HelveticaNeueLT Std" w:hAnsi="HelveticaNeueLT Std" w:cs="Arial"/>
                <w:bCs/>
                <w:sz w:val="20"/>
                <w:szCs w:val="20"/>
                <w:lang w:eastAsia="es-MX"/>
              </w:rPr>
              <w:t>os montos de las participaciones federales y estatales pagadas a los municipios durante el periodo de julio a septi</w:t>
            </w:r>
            <w:r w:rsidR="00310D88" w:rsidRPr="00310D88">
              <w:rPr>
                <w:rFonts w:ascii="HelveticaNeueLT Std" w:hAnsi="HelveticaNeueLT Std" w:cs="Arial"/>
                <w:bCs/>
                <w:sz w:val="20"/>
                <w:szCs w:val="20"/>
                <w:lang w:eastAsia="es-MX"/>
              </w:rPr>
              <w:t>embre del ejercicio fiscal 2022.</w:t>
            </w:r>
          </w:p>
          <w:p w14:paraId="5B8B0CEE" w14:textId="7B094647" w:rsidR="00310D88" w:rsidRDefault="00310D88" w:rsidP="00644FE0">
            <w:pPr>
              <w:jc w:val="both"/>
              <w:rPr>
                <w:rFonts w:ascii="HelveticaNeueLT Std" w:hAnsi="HelveticaNeueLT Std" w:cs="Arial"/>
                <w:bCs/>
                <w:sz w:val="20"/>
                <w:szCs w:val="20"/>
                <w:lang w:eastAsia="es-MX"/>
              </w:rPr>
            </w:pPr>
          </w:p>
          <w:p w14:paraId="2C3E792A" w14:textId="24B3F532" w:rsidR="00310D88" w:rsidRDefault="00310D88" w:rsidP="00C94931">
            <w:pPr>
              <w:pStyle w:val="Prrafodelista"/>
              <w:numPr>
                <w:ilvl w:val="0"/>
                <w:numId w:val="16"/>
              </w:numPr>
              <w:jc w:val="both"/>
              <w:rPr>
                <w:rFonts w:ascii="HelveticaNeueLT Std" w:hAnsi="HelveticaNeueLT Std" w:cs="Arial"/>
                <w:bCs/>
                <w:sz w:val="20"/>
                <w:szCs w:val="20"/>
                <w:lang w:eastAsia="es-MX"/>
              </w:rPr>
            </w:pPr>
            <w:r w:rsidRPr="00310D88">
              <w:rPr>
                <w:rFonts w:ascii="HelveticaNeueLT Std" w:hAnsi="HelveticaNeueLT Std" w:cs="Arial"/>
                <w:bCs/>
                <w:sz w:val="20"/>
                <w:szCs w:val="20"/>
                <w:lang w:eastAsia="es-MX"/>
              </w:rPr>
              <w:t xml:space="preserve">Los montos de las participaciones federales y estatales pagadas a los municipios durante el mes de julio del ejercicio fiscal 2022, provinieron de </w:t>
            </w:r>
            <w:r w:rsidR="00100098">
              <w:rPr>
                <w:rFonts w:ascii="HelveticaNeueLT Std" w:hAnsi="HelveticaNeueLT Std" w:cs="Arial"/>
                <w:bCs/>
                <w:sz w:val="20"/>
                <w:szCs w:val="20"/>
                <w:lang w:eastAsia="es-MX"/>
              </w:rPr>
              <w:t>entre otros conceptos</w:t>
            </w:r>
            <w:r w:rsidRPr="00310D88">
              <w:rPr>
                <w:rFonts w:ascii="HelveticaNeueLT Std" w:hAnsi="HelveticaNeueLT Std" w:cs="Arial"/>
                <w:bCs/>
                <w:sz w:val="20"/>
                <w:szCs w:val="20"/>
                <w:lang w:eastAsia="es-MX"/>
              </w:rPr>
              <w:t xml:space="preserve">: Fondo General de Participaciones, Fondo de Fomento Municipal, Impuestos Sobre Automóviles Nuevos, Impuesto Sobre Tenencia o Uso de Vehículos (FEDERAL), Impuesto Especial Sobre Producción y Servicios, Fondo de Fiscalización y Recaudación, Art. 4o-A, Fracción I </w:t>
            </w:r>
            <w:r>
              <w:rPr>
                <w:rFonts w:ascii="HelveticaNeueLT Std" w:hAnsi="HelveticaNeueLT Std" w:cs="Arial"/>
                <w:bCs/>
                <w:sz w:val="20"/>
                <w:szCs w:val="20"/>
                <w:lang w:eastAsia="es-MX"/>
              </w:rPr>
              <w:t>de la Ley</w:t>
            </w:r>
            <w:r w:rsidRPr="00310D88">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de</w:t>
            </w:r>
            <w:r w:rsidRPr="00310D88">
              <w:rPr>
                <w:rFonts w:ascii="HelveticaNeueLT Std" w:hAnsi="HelveticaNeueLT Std" w:cs="Arial"/>
                <w:bCs/>
                <w:sz w:val="20"/>
                <w:szCs w:val="20"/>
                <w:lang w:eastAsia="es-MX"/>
              </w:rPr>
              <w:t xml:space="preserve"> Coordinación Fiscal (GASOLINAS)</w:t>
            </w:r>
            <w:r>
              <w:rPr>
                <w:rFonts w:ascii="HelveticaNeueLT Std" w:hAnsi="HelveticaNeueLT Std" w:cs="Arial"/>
                <w:bCs/>
                <w:sz w:val="20"/>
                <w:szCs w:val="20"/>
                <w:lang w:eastAsia="es-MX"/>
              </w:rPr>
              <w:t>.</w:t>
            </w:r>
            <w:r w:rsidRPr="00310D88">
              <w:rPr>
                <w:rFonts w:ascii="HelveticaNeueLT Std" w:hAnsi="HelveticaNeueLT Std" w:cs="Arial"/>
                <w:bCs/>
                <w:sz w:val="20"/>
                <w:szCs w:val="20"/>
                <w:lang w:eastAsia="es-MX"/>
              </w:rPr>
              <w:t xml:space="preserve"> </w:t>
            </w:r>
          </w:p>
          <w:p w14:paraId="060ADB6E" w14:textId="77777777" w:rsidR="007C74CF" w:rsidRPr="007C74CF" w:rsidRDefault="007C74CF" w:rsidP="007C74CF">
            <w:pPr>
              <w:pStyle w:val="Prrafodelista"/>
              <w:rPr>
                <w:rFonts w:ascii="HelveticaNeueLT Std" w:hAnsi="HelveticaNeueLT Std" w:cs="Arial"/>
                <w:bCs/>
                <w:sz w:val="20"/>
                <w:szCs w:val="20"/>
                <w:lang w:eastAsia="es-MX"/>
              </w:rPr>
            </w:pPr>
          </w:p>
          <w:p w14:paraId="4DCD1217" w14:textId="52F5CBA1" w:rsidR="007C74CF" w:rsidRDefault="007C74CF" w:rsidP="007C74CF">
            <w:pPr>
              <w:pStyle w:val="Prrafodelista"/>
              <w:numPr>
                <w:ilvl w:val="0"/>
                <w:numId w:val="16"/>
              </w:numPr>
              <w:jc w:val="both"/>
              <w:rPr>
                <w:rFonts w:ascii="HelveticaNeueLT Std" w:hAnsi="HelveticaNeueLT Std" w:cs="Arial"/>
                <w:bCs/>
                <w:sz w:val="20"/>
                <w:szCs w:val="20"/>
                <w:lang w:eastAsia="es-MX"/>
              </w:rPr>
            </w:pPr>
            <w:r w:rsidRPr="007C74CF">
              <w:rPr>
                <w:rFonts w:ascii="HelveticaNeueLT Std" w:hAnsi="HelveticaNeueLT Std" w:cs="Arial"/>
                <w:bCs/>
                <w:sz w:val="20"/>
                <w:szCs w:val="20"/>
                <w:lang w:eastAsia="es-MX"/>
              </w:rPr>
              <w:t>Los montos de las participaciones federales y estatales pagadas a los municipios durante el mes de agosto del ejercicio</w:t>
            </w:r>
            <w:r>
              <w:rPr>
                <w:rFonts w:ascii="HelveticaNeueLT Std" w:hAnsi="HelveticaNeueLT Std" w:cs="Arial"/>
                <w:bCs/>
                <w:sz w:val="20"/>
                <w:szCs w:val="20"/>
                <w:lang w:eastAsia="es-MX"/>
              </w:rPr>
              <w:t xml:space="preserve"> fiscal 2022</w:t>
            </w:r>
            <w:r w:rsidR="006D1B9E">
              <w:rPr>
                <w:rFonts w:ascii="HelveticaNeueLT Std" w:hAnsi="HelveticaNeueLT Std" w:cs="Arial"/>
                <w:bCs/>
                <w:sz w:val="20"/>
                <w:szCs w:val="20"/>
                <w:lang w:eastAsia="es-MX"/>
              </w:rPr>
              <w:t xml:space="preserve">, </w:t>
            </w:r>
            <w:r w:rsidR="00961BFE" w:rsidRPr="00310D88">
              <w:rPr>
                <w:rFonts w:ascii="HelveticaNeueLT Std" w:hAnsi="HelveticaNeueLT Std" w:cs="Arial"/>
                <w:bCs/>
                <w:sz w:val="20"/>
                <w:szCs w:val="20"/>
                <w:lang w:eastAsia="es-MX"/>
              </w:rPr>
              <w:t xml:space="preserve">provinieron de </w:t>
            </w:r>
            <w:r w:rsidR="00961BFE">
              <w:rPr>
                <w:rFonts w:ascii="HelveticaNeueLT Std" w:hAnsi="HelveticaNeueLT Std" w:cs="Arial"/>
                <w:bCs/>
                <w:sz w:val="20"/>
                <w:szCs w:val="20"/>
                <w:lang w:eastAsia="es-MX"/>
              </w:rPr>
              <w:t>entre otros conceptos</w:t>
            </w:r>
            <w:r w:rsidR="00961BFE" w:rsidRPr="00310D88">
              <w:rPr>
                <w:rFonts w:ascii="HelveticaNeueLT Std" w:hAnsi="HelveticaNeueLT Std" w:cs="Arial"/>
                <w:bCs/>
                <w:sz w:val="20"/>
                <w:szCs w:val="20"/>
                <w:lang w:eastAsia="es-MX"/>
              </w:rPr>
              <w:t xml:space="preserve">: </w:t>
            </w:r>
            <w:r w:rsidRPr="00310D88">
              <w:rPr>
                <w:rFonts w:ascii="HelveticaNeueLT Std" w:hAnsi="HelveticaNeueLT Std" w:cs="Arial"/>
                <w:bCs/>
                <w:sz w:val="20"/>
                <w:szCs w:val="20"/>
                <w:lang w:eastAsia="es-MX"/>
              </w:rPr>
              <w:t xml:space="preserve">Fondo General de Participaciones, Fondo de Fomento Municipal, Impuestos Sobre Automóviles Nuevos, Impuesto Sobre Tenencia o Uso de Vehículos (FEDERAL), Impuesto Especial Sobre Producción y Servicios, Fondo de Fiscalización y Recaudación, Art. 4o-A, Fracción I </w:t>
            </w:r>
            <w:r>
              <w:rPr>
                <w:rFonts w:ascii="HelveticaNeueLT Std" w:hAnsi="HelveticaNeueLT Std" w:cs="Arial"/>
                <w:bCs/>
                <w:sz w:val="20"/>
                <w:szCs w:val="20"/>
                <w:lang w:eastAsia="es-MX"/>
              </w:rPr>
              <w:t>de la Ley</w:t>
            </w:r>
            <w:r w:rsidRPr="00310D88">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de</w:t>
            </w:r>
            <w:r w:rsidRPr="00310D88">
              <w:rPr>
                <w:rFonts w:ascii="HelveticaNeueLT Std" w:hAnsi="HelveticaNeueLT Std" w:cs="Arial"/>
                <w:bCs/>
                <w:sz w:val="20"/>
                <w:szCs w:val="20"/>
                <w:lang w:eastAsia="es-MX"/>
              </w:rPr>
              <w:t xml:space="preserve"> Coordinación Fiscal (GASOLINAS)</w:t>
            </w:r>
            <w:r>
              <w:rPr>
                <w:rFonts w:ascii="HelveticaNeueLT Std" w:hAnsi="HelveticaNeueLT Std" w:cs="Arial"/>
                <w:bCs/>
                <w:sz w:val="20"/>
                <w:szCs w:val="20"/>
                <w:lang w:eastAsia="es-MX"/>
              </w:rPr>
              <w:t>.</w:t>
            </w:r>
            <w:r w:rsidRPr="00310D88">
              <w:rPr>
                <w:rFonts w:ascii="HelveticaNeueLT Std" w:hAnsi="HelveticaNeueLT Std" w:cs="Arial"/>
                <w:bCs/>
                <w:sz w:val="20"/>
                <w:szCs w:val="20"/>
                <w:lang w:eastAsia="es-MX"/>
              </w:rPr>
              <w:t xml:space="preserve"> </w:t>
            </w:r>
          </w:p>
          <w:p w14:paraId="5BC865E8" w14:textId="77777777" w:rsidR="007C74CF" w:rsidRPr="007C74CF" w:rsidRDefault="007C74CF" w:rsidP="007C74CF">
            <w:pPr>
              <w:pStyle w:val="Prrafodelista"/>
              <w:rPr>
                <w:rFonts w:ascii="HelveticaNeueLT Std" w:hAnsi="HelveticaNeueLT Std" w:cs="Arial"/>
                <w:bCs/>
                <w:sz w:val="20"/>
                <w:szCs w:val="20"/>
                <w:lang w:eastAsia="es-MX"/>
              </w:rPr>
            </w:pPr>
          </w:p>
          <w:p w14:paraId="5816AAB2" w14:textId="59D3D560" w:rsidR="006277BE" w:rsidRDefault="006F4448" w:rsidP="006277BE">
            <w:pPr>
              <w:pStyle w:val="Prrafodelista"/>
              <w:numPr>
                <w:ilvl w:val="0"/>
                <w:numId w:val="16"/>
              </w:numPr>
              <w:jc w:val="both"/>
              <w:rPr>
                <w:rFonts w:ascii="HelveticaNeueLT Std" w:hAnsi="HelveticaNeueLT Std" w:cs="Arial"/>
                <w:bCs/>
                <w:sz w:val="20"/>
                <w:szCs w:val="20"/>
                <w:lang w:eastAsia="es-MX"/>
              </w:rPr>
            </w:pPr>
            <w:r w:rsidRPr="006F4448">
              <w:rPr>
                <w:rFonts w:ascii="HelveticaNeueLT Std" w:hAnsi="HelveticaNeueLT Std" w:cs="Arial"/>
                <w:bCs/>
                <w:sz w:val="20"/>
                <w:szCs w:val="20"/>
                <w:lang w:eastAsia="es-MX"/>
              </w:rPr>
              <w:t>Los montos de las participaciones federales y estatales pagadas a los municipios durante el mes de septiembre del ejercicio fiscal 2022</w:t>
            </w:r>
            <w:r w:rsidR="006D1B9E">
              <w:rPr>
                <w:rFonts w:ascii="HelveticaNeueLT Std" w:hAnsi="HelveticaNeueLT Std" w:cs="Arial"/>
                <w:bCs/>
                <w:sz w:val="20"/>
                <w:szCs w:val="20"/>
                <w:lang w:eastAsia="es-MX"/>
              </w:rPr>
              <w:t xml:space="preserve">, </w:t>
            </w:r>
            <w:r w:rsidR="006D1B9E" w:rsidRPr="00310D88">
              <w:rPr>
                <w:rFonts w:ascii="HelveticaNeueLT Std" w:hAnsi="HelveticaNeueLT Std" w:cs="Arial"/>
                <w:bCs/>
                <w:sz w:val="20"/>
                <w:szCs w:val="20"/>
                <w:lang w:eastAsia="es-MX"/>
              </w:rPr>
              <w:t xml:space="preserve">provinieron de </w:t>
            </w:r>
            <w:r w:rsidR="006D1B9E">
              <w:rPr>
                <w:rFonts w:ascii="HelveticaNeueLT Std" w:hAnsi="HelveticaNeueLT Std" w:cs="Arial"/>
                <w:bCs/>
                <w:sz w:val="20"/>
                <w:szCs w:val="20"/>
                <w:lang w:eastAsia="es-MX"/>
              </w:rPr>
              <w:t>entre otros conceptos</w:t>
            </w:r>
            <w:r w:rsidR="006D1B9E" w:rsidRPr="00310D88">
              <w:rPr>
                <w:rFonts w:ascii="HelveticaNeueLT Std" w:hAnsi="HelveticaNeueLT Std" w:cs="Arial"/>
                <w:bCs/>
                <w:sz w:val="20"/>
                <w:szCs w:val="20"/>
                <w:lang w:eastAsia="es-MX"/>
              </w:rPr>
              <w:t xml:space="preserve">: </w:t>
            </w:r>
            <w:r w:rsidR="006277BE">
              <w:rPr>
                <w:rFonts w:ascii="HelveticaNeueLT Std" w:hAnsi="HelveticaNeueLT Std" w:cs="Arial"/>
                <w:bCs/>
                <w:sz w:val="20"/>
                <w:szCs w:val="20"/>
                <w:lang w:eastAsia="es-MX"/>
              </w:rPr>
              <w:t xml:space="preserve"> </w:t>
            </w:r>
            <w:r w:rsidR="006277BE" w:rsidRPr="00310D88">
              <w:rPr>
                <w:rFonts w:ascii="HelveticaNeueLT Std" w:hAnsi="HelveticaNeueLT Std" w:cs="Arial"/>
                <w:bCs/>
                <w:sz w:val="20"/>
                <w:szCs w:val="20"/>
                <w:lang w:eastAsia="es-MX"/>
              </w:rPr>
              <w:t xml:space="preserve">Fondo General de Participaciones, Fondo de Fomento Municipal, Impuestos Sobre Automóviles Nuevos, Impuesto Sobre Tenencia o Uso de Vehículos (FEDERAL), Impuesto Especial Sobre Producción y Servicios, Fondo de Fiscalización y Recaudación, Art. 4o-A, Fracción I </w:t>
            </w:r>
            <w:r w:rsidR="006277BE">
              <w:rPr>
                <w:rFonts w:ascii="HelveticaNeueLT Std" w:hAnsi="HelveticaNeueLT Std" w:cs="Arial"/>
                <w:bCs/>
                <w:sz w:val="20"/>
                <w:szCs w:val="20"/>
                <w:lang w:eastAsia="es-MX"/>
              </w:rPr>
              <w:t>de la Ley</w:t>
            </w:r>
            <w:r w:rsidR="006277BE" w:rsidRPr="00310D88">
              <w:rPr>
                <w:rFonts w:ascii="HelveticaNeueLT Std" w:hAnsi="HelveticaNeueLT Std" w:cs="Arial"/>
                <w:bCs/>
                <w:sz w:val="20"/>
                <w:szCs w:val="20"/>
                <w:lang w:eastAsia="es-MX"/>
              </w:rPr>
              <w:t xml:space="preserve"> </w:t>
            </w:r>
            <w:r w:rsidR="006277BE">
              <w:rPr>
                <w:rFonts w:ascii="HelveticaNeueLT Std" w:hAnsi="HelveticaNeueLT Std" w:cs="Arial"/>
                <w:bCs/>
                <w:sz w:val="20"/>
                <w:szCs w:val="20"/>
                <w:lang w:eastAsia="es-MX"/>
              </w:rPr>
              <w:t>de</w:t>
            </w:r>
            <w:r w:rsidR="006277BE" w:rsidRPr="00310D88">
              <w:rPr>
                <w:rFonts w:ascii="HelveticaNeueLT Std" w:hAnsi="HelveticaNeueLT Std" w:cs="Arial"/>
                <w:bCs/>
                <w:sz w:val="20"/>
                <w:szCs w:val="20"/>
                <w:lang w:eastAsia="es-MX"/>
              </w:rPr>
              <w:t xml:space="preserve"> Coordinación Fiscal (GASOLINAS)</w:t>
            </w:r>
            <w:r w:rsidR="006277BE">
              <w:rPr>
                <w:rFonts w:ascii="HelveticaNeueLT Std" w:hAnsi="HelveticaNeueLT Std" w:cs="Arial"/>
                <w:bCs/>
                <w:sz w:val="20"/>
                <w:szCs w:val="20"/>
                <w:lang w:eastAsia="es-MX"/>
              </w:rPr>
              <w:t>.</w:t>
            </w:r>
            <w:r w:rsidR="006277BE" w:rsidRPr="00310D88">
              <w:rPr>
                <w:rFonts w:ascii="HelveticaNeueLT Std" w:hAnsi="HelveticaNeueLT Std" w:cs="Arial"/>
                <w:bCs/>
                <w:sz w:val="20"/>
                <w:szCs w:val="20"/>
                <w:lang w:eastAsia="es-MX"/>
              </w:rPr>
              <w:t xml:space="preserve"> </w:t>
            </w:r>
          </w:p>
          <w:p w14:paraId="680ED6BA" w14:textId="77777777" w:rsidR="006277BE" w:rsidRPr="006277BE" w:rsidRDefault="006277BE" w:rsidP="006277BE">
            <w:pPr>
              <w:pStyle w:val="Prrafodelista"/>
              <w:rPr>
                <w:rFonts w:ascii="HelveticaNeueLT Std" w:hAnsi="HelveticaNeueLT Std" w:cs="Arial"/>
                <w:bCs/>
                <w:sz w:val="20"/>
                <w:szCs w:val="20"/>
                <w:lang w:eastAsia="es-MX"/>
              </w:rPr>
            </w:pPr>
          </w:p>
          <w:p w14:paraId="436235AE" w14:textId="485D9F38" w:rsidR="006277BE" w:rsidRDefault="006277BE" w:rsidP="006277BE">
            <w:pPr>
              <w:pStyle w:val="Prrafodelista"/>
              <w:numPr>
                <w:ilvl w:val="0"/>
                <w:numId w:val="16"/>
              </w:numPr>
              <w:jc w:val="both"/>
              <w:rPr>
                <w:rFonts w:ascii="HelveticaNeueLT Std" w:hAnsi="HelveticaNeueLT Std" w:cs="Arial"/>
                <w:bCs/>
                <w:sz w:val="20"/>
                <w:szCs w:val="20"/>
                <w:lang w:eastAsia="es-MX"/>
              </w:rPr>
            </w:pPr>
            <w:r w:rsidRPr="006277BE">
              <w:rPr>
                <w:rFonts w:ascii="HelveticaNeueLT Std" w:hAnsi="HelveticaNeueLT Std" w:cs="Arial"/>
                <w:bCs/>
                <w:sz w:val="20"/>
                <w:szCs w:val="20"/>
                <w:lang w:eastAsia="es-MX"/>
              </w:rPr>
              <w:t>Se dan a conocer los montos de las compensaciones aplicadas durante el tercer trimestre del ejercicio fiscal 2022, a las participaciones del Fondo General de Participaciones por concepto del Faltante Inicial del FEIEF, derivado de la autorización a la que se refiere el artículo segundo del “Decreto Número 157 por el que se establecen las condiciones para que los municipios accedan al FEIEF” publicado en el Periódico Oficial “Gaceta del G</w:t>
            </w:r>
            <w:r w:rsidR="00F43308">
              <w:rPr>
                <w:rFonts w:ascii="HelveticaNeueLT Std" w:hAnsi="HelveticaNeueLT Std" w:cs="Arial"/>
                <w:bCs/>
                <w:sz w:val="20"/>
                <w:szCs w:val="20"/>
                <w:lang w:eastAsia="es-MX"/>
              </w:rPr>
              <w:t>obierno” el 14 de julio de 2020.</w:t>
            </w:r>
          </w:p>
          <w:p w14:paraId="7E18EAA3" w14:textId="77777777" w:rsidR="006277BE" w:rsidRDefault="006277BE" w:rsidP="006277BE">
            <w:pPr>
              <w:pStyle w:val="Prrafodelista"/>
              <w:jc w:val="both"/>
              <w:rPr>
                <w:rFonts w:ascii="HelveticaNeueLT Std" w:hAnsi="HelveticaNeueLT Std" w:cs="Arial"/>
                <w:bCs/>
                <w:sz w:val="20"/>
                <w:szCs w:val="20"/>
                <w:lang w:eastAsia="es-MX"/>
              </w:rPr>
            </w:pPr>
          </w:p>
          <w:p w14:paraId="0A44E041" w14:textId="14429F24" w:rsidR="00310D88" w:rsidRDefault="00310D88" w:rsidP="00731765">
            <w:pPr>
              <w:pStyle w:val="Prrafodelista"/>
              <w:jc w:val="both"/>
              <w:rPr>
                <w:rFonts w:ascii="HelveticaNeueLT Std" w:hAnsi="HelveticaNeueLT Std" w:cs="Arial"/>
                <w:bCs/>
                <w:sz w:val="20"/>
                <w:szCs w:val="20"/>
                <w:lang w:eastAsia="es-MX"/>
              </w:rPr>
            </w:pPr>
          </w:p>
        </w:tc>
      </w:tr>
      <w:tr w:rsidR="00731765" w:rsidRPr="009E299E" w14:paraId="3BD2948E" w14:textId="77777777" w:rsidTr="00731765">
        <w:trPr>
          <w:trHeight w:val="117"/>
          <w:jc w:val="center"/>
        </w:trPr>
        <w:tc>
          <w:tcPr>
            <w:tcW w:w="567" w:type="dxa"/>
            <w:tcBorders>
              <w:top w:val="single" w:sz="4" w:space="0" w:color="auto"/>
              <w:bottom w:val="nil"/>
            </w:tcBorders>
          </w:tcPr>
          <w:p w14:paraId="1C7953FB" w14:textId="77777777" w:rsidR="00731765" w:rsidRDefault="0073176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75978777" w14:textId="77777777" w:rsidR="00731765" w:rsidRPr="006F723B" w:rsidRDefault="00731765" w:rsidP="00644FE0">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134E4C7" w14:textId="77777777" w:rsidR="00731765" w:rsidRDefault="00731765" w:rsidP="009B33FD">
            <w:pPr>
              <w:spacing w:before="225" w:after="225" w:line="276" w:lineRule="auto"/>
              <w:jc w:val="both"/>
            </w:pPr>
          </w:p>
        </w:tc>
        <w:tc>
          <w:tcPr>
            <w:tcW w:w="7938" w:type="dxa"/>
            <w:tcBorders>
              <w:top w:val="single" w:sz="4" w:space="0" w:color="auto"/>
              <w:bottom w:val="nil"/>
            </w:tcBorders>
          </w:tcPr>
          <w:p w14:paraId="2C0C0564" w14:textId="77777777" w:rsidR="00731765" w:rsidRPr="001E6669" w:rsidRDefault="00731765" w:rsidP="00731765">
            <w:pPr>
              <w:pStyle w:val="Prrafodelista"/>
              <w:numPr>
                <w:ilvl w:val="0"/>
                <w:numId w:val="16"/>
              </w:numPr>
              <w:jc w:val="both"/>
              <w:rPr>
                <w:rFonts w:ascii="HelveticaNeueLT Std" w:hAnsi="HelveticaNeueLT Std" w:cs="Arial"/>
                <w:bCs/>
                <w:sz w:val="20"/>
                <w:szCs w:val="20"/>
                <w:lang w:eastAsia="es-MX"/>
              </w:rPr>
            </w:pPr>
            <w:r w:rsidRPr="001E6669">
              <w:rPr>
                <w:rFonts w:ascii="HelveticaNeueLT Std" w:hAnsi="HelveticaNeueLT Std" w:cs="Arial"/>
                <w:bCs/>
                <w:sz w:val="20"/>
                <w:szCs w:val="20"/>
                <w:lang w:eastAsia="es-MX"/>
              </w:rPr>
              <w:t xml:space="preserve">Se dan a conocer los montos de las compensaciones aplicadas durante el tercer trimestre del ejercicio fiscal 2022, a las participaciones del Fondo General de Participaciones por concepto del Faltante Inicial del </w:t>
            </w:r>
            <w:proofErr w:type="spellStart"/>
            <w:r w:rsidRPr="001E6669">
              <w:rPr>
                <w:rFonts w:ascii="HelveticaNeueLT Std" w:hAnsi="HelveticaNeueLT Std" w:cs="Arial"/>
                <w:bCs/>
                <w:sz w:val="20"/>
                <w:szCs w:val="20"/>
                <w:lang w:eastAsia="es-MX"/>
              </w:rPr>
              <w:t>FEIEF</w:t>
            </w:r>
            <w:proofErr w:type="spellEnd"/>
            <w:r w:rsidRPr="001E6669">
              <w:rPr>
                <w:rFonts w:ascii="HelveticaNeueLT Std" w:hAnsi="HelveticaNeueLT Std" w:cs="Arial"/>
                <w:bCs/>
                <w:sz w:val="20"/>
                <w:szCs w:val="20"/>
                <w:lang w:eastAsia="es-MX"/>
              </w:rPr>
              <w:t xml:space="preserve">, derivado de la autorización a la que se refiere el artículo segundo del “Decreto Número 157 por el que se establecen las condiciones para que los municipios accedan al </w:t>
            </w:r>
            <w:proofErr w:type="spellStart"/>
            <w:r w:rsidRPr="001E6669">
              <w:rPr>
                <w:rFonts w:ascii="HelveticaNeueLT Std" w:hAnsi="HelveticaNeueLT Std" w:cs="Arial"/>
                <w:bCs/>
                <w:sz w:val="20"/>
                <w:szCs w:val="20"/>
                <w:lang w:eastAsia="es-MX"/>
              </w:rPr>
              <w:t>FEIEF</w:t>
            </w:r>
            <w:proofErr w:type="spellEnd"/>
            <w:r w:rsidRPr="001E6669">
              <w:rPr>
                <w:rFonts w:ascii="HelveticaNeueLT Std" w:hAnsi="HelveticaNeueLT Std" w:cs="Arial"/>
                <w:bCs/>
                <w:sz w:val="20"/>
                <w:szCs w:val="20"/>
                <w:lang w:eastAsia="es-MX"/>
              </w:rPr>
              <w:t>” publicado en el Periódico Oficial “Gaceta del Gobierno” el 14 de julio de 2020.</w:t>
            </w:r>
          </w:p>
          <w:p w14:paraId="75398C91" w14:textId="77777777" w:rsidR="00731765" w:rsidRDefault="00731765" w:rsidP="00644FE0">
            <w:pPr>
              <w:jc w:val="both"/>
              <w:rPr>
                <w:rFonts w:ascii="HelveticaNeueLT Std" w:hAnsi="HelveticaNeueLT Std" w:cs="Arial"/>
                <w:bCs/>
                <w:sz w:val="20"/>
                <w:szCs w:val="20"/>
                <w:lang w:eastAsia="es-MX"/>
              </w:rPr>
            </w:pPr>
          </w:p>
        </w:tc>
      </w:tr>
      <w:tr w:rsidR="00A73EBE" w:rsidRPr="009E299E" w14:paraId="76264EB6" w14:textId="77777777" w:rsidTr="00731765">
        <w:trPr>
          <w:trHeight w:val="117"/>
          <w:jc w:val="center"/>
        </w:trPr>
        <w:tc>
          <w:tcPr>
            <w:tcW w:w="567" w:type="dxa"/>
            <w:tcBorders>
              <w:top w:val="nil"/>
              <w:bottom w:val="nil"/>
            </w:tcBorders>
          </w:tcPr>
          <w:p w14:paraId="17C7E0F7" w14:textId="7705ABEC" w:rsidR="00A73EBE" w:rsidRDefault="009C4E02"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74</w:t>
            </w:r>
          </w:p>
        </w:tc>
        <w:tc>
          <w:tcPr>
            <w:tcW w:w="2410" w:type="dxa"/>
            <w:tcBorders>
              <w:top w:val="nil"/>
              <w:bottom w:val="nil"/>
            </w:tcBorders>
          </w:tcPr>
          <w:p w14:paraId="16C67F7E" w14:textId="02532F6A" w:rsidR="009C4E02" w:rsidRPr="006F723B" w:rsidRDefault="009C4E02" w:rsidP="009C4E02">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20-octubre-2022</w:t>
            </w:r>
          </w:p>
          <w:p w14:paraId="5815C489" w14:textId="77777777" w:rsidR="009C4E02" w:rsidRPr="006F723B" w:rsidRDefault="009C4E02" w:rsidP="009C4E02">
            <w:pPr>
              <w:spacing w:line="276" w:lineRule="auto"/>
              <w:ind w:left="17"/>
              <w:jc w:val="center"/>
              <w:rPr>
                <w:rFonts w:ascii="HelveticaNeueLT Std" w:hAnsi="HelveticaNeueLT Std" w:cs="Arial"/>
                <w:b/>
                <w:sz w:val="20"/>
                <w:szCs w:val="20"/>
              </w:rPr>
            </w:pPr>
          </w:p>
          <w:p w14:paraId="5621ABB6" w14:textId="77777777" w:rsidR="009C4E02" w:rsidRPr="006F723B" w:rsidRDefault="009C4E02" w:rsidP="009C4E02">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Sección</w:t>
            </w:r>
          </w:p>
          <w:p w14:paraId="64C54D31" w14:textId="77777777" w:rsidR="009C4E02" w:rsidRPr="006F723B" w:rsidRDefault="009C4E02" w:rsidP="009C4E02">
            <w:pPr>
              <w:spacing w:line="276" w:lineRule="auto"/>
              <w:ind w:left="17"/>
              <w:jc w:val="center"/>
              <w:rPr>
                <w:rFonts w:ascii="HelveticaNeueLT Std" w:hAnsi="HelveticaNeueLT Std" w:cs="Arial"/>
                <w:b/>
                <w:sz w:val="20"/>
                <w:szCs w:val="20"/>
              </w:rPr>
            </w:pPr>
            <w:r w:rsidRPr="006F723B">
              <w:rPr>
                <w:rFonts w:ascii="HelveticaNeueLT Std" w:hAnsi="HelveticaNeueLT Std" w:cs="Arial"/>
                <w:b/>
                <w:sz w:val="20"/>
                <w:szCs w:val="20"/>
              </w:rPr>
              <w:t>Primera</w:t>
            </w:r>
          </w:p>
          <w:p w14:paraId="6A0E13E8" w14:textId="77777777" w:rsidR="00A73EBE" w:rsidRPr="006F723B" w:rsidRDefault="00A73EBE" w:rsidP="00644FE0">
            <w:pPr>
              <w:spacing w:line="276" w:lineRule="auto"/>
              <w:ind w:left="17"/>
              <w:jc w:val="center"/>
              <w:rPr>
                <w:rFonts w:ascii="HelveticaNeueLT Std" w:hAnsi="HelveticaNeueLT Std" w:cs="Arial"/>
                <w:b/>
                <w:sz w:val="20"/>
                <w:szCs w:val="20"/>
              </w:rPr>
            </w:pPr>
          </w:p>
        </w:tc>
        <w:tc>
          <w:tcPr>
            <w:tcW w:w="3686" w:type="dxa"/>
            <w:tcBorders>
              <w:top w:val="nil"/>
              <w:bottom w:val="nil"/>
            </w:tcBorders>
            <w:shd w:val="clear" w:color="auto" w:fill="FFFFFF" w:themeFill="background1"/>
          </w:tcPr>
          <w:p w14:paraId="391EA39E" w14:textId="431B12E8" w:rsidR="00A73EBE" w:rsidRPr="006F723B" w:rsidRDefault="006821BC" w:rsidP="009B33FD">
            <w:pPr>
              <w:spacing w:before="225" w:after="225" w:line="276" w:lineRule="auto"/>
              <w:jc w:val="both"/>
            </w:pPr>
            <w:hyperlink r:id="rId16" w:tgtFrame="_blank" w:history="1">
              <w:r w:rsidR="009C4E02" w:rsidRPr="006F723B">
                <w:rPr>
                  <w:rFonts w:ascii="HelveticaNeueLT Std" w:hAnsi="HelveticaNeueLT Std" w:cs="Arial"/>
                  <w:b/>
                  <w:bCs/>
                  <w:sz w:val="20"/>
                  <w:szCs w:val="20"/>
                </w:rPr>
                <w:t>Convocatoria a la XXIII reunión estatal de servidores públicos hacendarios que se constituirá en la XXIII asamblea anual del Consejo Directivo del Instituto Hacendario del Estado de México.</w:t>
              </w:r>
            </w:hyperlink>
          </w:p>
        </w:tc>
        <w:tc>
          <w:tcPr>
            <w:tcW w:w="7938" w:type="dxa"/>
            <w:tcBorders>
              <w:top w:val="nil"/>
              <w:bottom w:val="nil"/>
            </w:tcBorders>
          </w:tcPr>
          <w:p w14:paraId="7D1970E2" w14:textId="77777777" w:rsidR="009C4E02" w:rsidRDefault="009C4E02" w:rsidP="009C4E02">
            <w:pPr>
              <w:jc w:val="both"/>
              <w:rPr>
                <w:rFonts w:ascii="HelveticaNeueLT Std" w:hAnsi="HelveticaNeueLT Std" w:cs="Arial"/>
                <w:bCs/>
                <w:sz w:val="20"/>
                <w:szCs w:val="20"/>
                <w:lang w:eastAsia="es-MX"/>
              </w:rPr>
            </w:pPr>
          </w:p>
          <w:p w14:paraId="7F69E826" w14:textId="57F14C75" w:rsidR="00444068" w:rsidRDefault="001B7579" w:rsidP="009C4E02">
            <w:pPr>
              <w:jc w:val="both"/>
              <w:rPr>
                <w:rFonts w:ascii="HelveticaNeueLT Std" w:hAnsi="HelveticaNeueLT Std" w:cs="Arial"/>
                <w:bCs/>
                <w:sz w:val="20"/>
                <w:szCs w:val="20"/>
                <w:lang w:eastAsia="es-MX"/>
              </w:rPr>
            </w:pPr>
            <w:r w:rsidRPr="001B7579">
              <w:rPr>
                <w:rFonts w:ascii="HelveticaNeueLT Std" w:hAnsi="HelveticaNeueLT Std" w:cs="Arial"/>
                <w:bCs/>
                <w:sz w:val="20"/>
                <w:szCs w:val="20"/>
                <w:lang w:eastAsia="es-MX"/>
              </w:rPr>
              <w:t>La XXIII Reunión Estatal de Servidores Públicos Hacendarios, que se constituirá en la XXIII Asamblea Anual del Consejo Directivo del Instituto Hacendario del Estado de México, se celebrará el jueves 27 de octubre de 2022, en el Salón Sentimientos de la Nación del Instituto Hacendario del Estado de México, ubicado en calle Federalismo No. 103, Colonia Santiago Tlaxomulco C</w:t>
            </w:r>
            <w:r w:rsidR="00F43308">
              <w:rPr>
                <w:rFonts w:ascii="HelveticaNeueLT Std" w:hAnsi="HelveticaNeueLT Std" w:cs="Arial"/>
                <w:bCs/>
                <w:sz w:val="20"/>
                <w:szCs w:val="20"/>
                <w:lang w:eastAsia="es-MX"/>
              </w:rPr>
              <w:t>entro, Toluca, Estado de México, atendiendo al orden del día y las bases publicadas en la convocatoria de referencia.</w:t>
            </w:r>
          </w:p>
          <w:p w14:paraId="22508520" w14:textId="7DDFD006" w:rsidR="00444068" w:rsidRDefault="00444068" w:rsidP="009C4E02">
            <w:pPr>
              <w:jc w:val="both"/>
              <w:rPr>
                <w:rFonts w:ascii="HelveticaNeueLT Std" w:hAnsi="HelveticaNeueLT Std" w:cs="Arial"/>
                <w:bCs/>
                <w:sz w:val="20"/>
                <w:szCs w:val="20"/>
                <w:lang w:eastAsia="es-MX"/>
              </w:rPr>
            </w:pPr>
          </w:p>
          <w:p w14:paraId="6F39A3AB" w14:textId="6720ED22" w:rsidR="00444068" w:rsidRDefault="00444068" w:rsidP="009C4E02">
            <w:pPr>
              <w:jc w:val="both"/>
              <w:rPr>
                <w:rFonts w:ascii="HelveticaNeueLT Std" w:hAnsi="HelveticaNeueLT Std" w:cs="Arial"/>
                <w:bCs/>
                <w:sz w:val="20"/>
                <w:szCs w:val="20"/>
                <w:lang w:eastAsia="es-MX"/>
              </w:rPr>
            </w:pPr>
          </w:p>
          <w:p w14:paraId="6777B34C" w14:textId="77777777" w:rsidR="00A73EBE" w:rsidRDefault="00A73EBE" w:rsidP="00644FE0">
            <w:pPr>
              <w:jc w:val="both"/>
              <w:rPr>
                <w:rFonts w:ascii="HelveticaNeueLT Std" w:hAnsi="HelveticaNeueLT Std" w:cs="Arial"/>
                <w:bCs/>
                <w:sz w:val="20"/>
                <w:szCs w:val="20"/>
                <w:lang w:eastAsia="es-MX"/>
              </w:rPr>
            </w:pPr>
          </w:p>
        </w:tc>
      </w:tr>
      <w:tr w:rsidR="008F0143" w:rsidRPr="009E299E" w14:paraId="747ACD73" w14:textId="77777777" w:rsidTr="00731765">
        <w:trPr>
          <w:trHeight w:val="117"/>
          <w:jc w:val="center"/>
        </w:trPr>
        <w:tc>
          <w:tcPr>
            <w:tcW w:w="567" w:type="dxa"/>
            <w:tcBorders>
              <w:top w:val="nil"/>
              <w:bottom w:val="single" w:sz="4" w:space="0" w:color="auto"/>
            </w:tcBorders>
          </w:tcPr>
          <w:p w14:paraId="73A29814" w14:textId="164CDD5C" w:rsidR="008F0143" w:rsidRDefault="008F0143"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75</w:t>
            </w:r>
          </w:p>
        </w:tc>
        <w:tc>
          <w:tcPr>
            <w:tcW w:w="2410" w:type="dxa"/>
            <w:tcBorders>
              <w:top w:val="nil"/>
              <w:bottom w:val="single" w:sz="4" w:space="0" w:color="auto"/>
            </w:tcBorders>
            <w:shd w:val="clear" w:color="auto" w:fill="auto"/>
          </w:tcPr>
          <w:p w14:paraId="166F4C2D" w14:textId="1310E73A" w:rsidR="008F0143" w:rsidRPr="00116454" w:rsidRDefault="008F0143" w:rsidP="008F0143">
            <w:pPr>
              <w:spacing w:line="276" w:lineRule="auto"/>
              <w:ind w:left="17"/>
              <w:jc w:val="center"/>
              <w:rPr>
                <w:rFonts w:ascii="HelveticaNeueLT Std" w:hAnsi="HelveticaNeueLT Std" w:cs="Arial"/>
                <w:b/>
                <w:sz w:val="20"/>
                <w:szCs w:val="20"/>
              </w:rPr>
            </w:pPr>
            <w:r w:rsidRPr="00116454">
              <w:rPr>
                <w:rFonts w:ascii="HelveticaNeueLT Std" w:hAnsi="HelveticaNeueLT Std" w:cs="Arial"/>
                <w:b/>
                <w:sz w:val="20"/>
                <w:szCs w:val="20"/>
              </w:rPr>
              <w:t>21-octubre-2022</w:t>
            </w:r>
          </w:p>
          <w:p w14:paraId="46CA19D0" w14:textId="77777777" w:rsidR="008F0143" w:rsidRPr="00116454" w:rsidRDefault="008F0143" w:rsidP="008F0143">
            <w:pPr>
              <w:spacing w:line="276" w:lineRule="auto"/>
              <w:ind w:left="17"/>
              <w:jc w:val="center"/>
              <w:rPr>
                <w:rFonts w:ascii="HelveticaNeueLT Std" w:hAnsi="HelveticaNeueLT Std" w:cs="Arial"/>
                <w:b/>
                <w:sz w:val="20"/>
                <w:szCs w:val="20"/>
              </w:rPr>
            </w:pPr>
          </w:p>
          <w:p w14:paraId="524D14A2" w14:textId="77777777" w:rsidR="008F0143" w:rsidRPr="00116454" w:rsidRDefault="008F0143" w:rsidP="008F0143">
            <w:pPr>
              <w:spacing w:line="276" w:lineRule="auto"/>
              <w:ind w:left="17"/>
              <w:jc w:val="center"/>
              <w:rPr>
                <w:rFonts w:ascii="HelveticaNeueLT Std" w:hAnsi="HelveticaNeueLT Std" w:cs="Arial"/>
                <w:b/>
                <w:sz w:val="20"/>
                <w:szCs w:val="20"/>
              </w:rPr>
            </w:pPr>
            <w:r w:rsidRPr="00116454">
              <w:rPr>
                <w:rFonts w:ascii="HelveticaNeueLT Std" w:hAnsi="HelveticaNeueLT Std" w:cs="Arial"/>
                <w:b/>
                <w:sz w:val="20"/>
                <w:szCs w:val="20"/>
              </w:rPr>
              <w:t>Sección</w:t>
            </w:r>
          </w:p>
          <w:p w14:paraId="721D5D0C" w14:textId="60987441" w:rsidR="008F0143" w:rsidRPr="00116454" w:rsidRDefault="008F0143" w:rsidP="008F0143">
            <w:pPr>
              <w:spacing w:line="276" w:lineRule="auto"/>
              <w:ind w:left="17"/>
              <w:jc w:val="center"/>
              <w:rPr>
                <w:rFonts w:ascii="HelveticaNeueLT Std" w:hAnsi="HelveticaNeueLT Std" w:cs="Arial"/>
                <w:b/>
                <w:sz w:val="20"/>
                <w:szCs w:val="20"/>
              </w:rPr>
            </w:pPr>
            <w:r w:rsidRPr="00116454">
              <w:rPr>
                <w:rFonts w:ascii="HelveticaNeueLT Std" w:hAnsi="HelveticaNeueLT Std" w:cs="Arial"/>
                <w:b/>
                <w:sz w:val="20"/>
                <w:szCs w:val="20"/>
              </w:rPr>
              <w:t>Segunda</w:t>
            </w:r>
          </w:p>
          <w:p w14:paraId="3FB13286" w14:textId="77777777" w:rsidR="008F0143" w:rsidRPr="00320143" w:rsidRDefault="008F0143" w:rsidP="009C4E02">
            <w:pPr>
              <w:spacing w:line="276" w:lineRule="auto"/>
              <w:ind w:left="17"/>
              <w:jc w:val="center"/>
              <w:rPr>
                <w:rFonts w:ascii="HelveticaNeueLT Std" w:hAnsi="HelveticaNeueLT Std" w:cs="Arial"/>
                <w:b/>
                <w:sz w:val="20"/>
                <w:szCs w:val="20"/>
                <w:highlight w:val="yellow"/>
              </w:rPr>
            </w:pPr>
          </w:p>
        </w:tc>
        <w:tc>
          <w:tcPr>
            <w:tcW w:w="3686" w:type="dxa"/>
            <w:tcBorders>
              <w:top w:val="nil"/>
              <w:bottom w:val="single" w:sz="4" w:space="0" w:color="auto"/>
            </w:tcBorders>
            <w:shd w:val="clear" w:color="auto" w:fill="auto"/>
          </w:tcPr>
          <w:p w14:paraId="7913D45F" w14:textId="77777777" w:rsidR="008F0143" w:rsidRPr="00116454" w:rsidRDefault="008F0143" w:rsidP="008F0143">
            <w:pPr>
              <w:spacing w:before="225" w:after="225" w:line="276" w:lineRule="auto"/>
              <w:jc w:val="center"/>
              <w:rPr>
                <w:rFonts w:ascii="HelveticaNeueLT Std" w:hAnsi="HelveticaNeueLT Std" w:cs="Arial"/>
                <w:b/>
                <w:sz w:val="20"/>
                <w:szCs w:val="20"/>
              </w:rPr>
            </w:pPr>
            <w:r w:rsidRPr="00116454">
              <w:rPr>
                <w:rFonts w:ascii="HelveticaNeueLT Std" w:hAnsi="HelveticaNeueLT Std" w:cs="Arial"/>
                <w:b/>
                <w:bCs/>
                <w:sz w:val="20"/>
                <w:szCs w:val="20"/>
              </w:rPr>
              <w:t>Poder Ejecutivo del Estado</w:t>
            </w:r>
          </w:p>
          <w:p w14:paraId="0BEC10E1" w14:textId="4AB5CF96" w:rsidR="008F0143" w:rsidRPr="00320143" w:rsidRDefault="006821BC" w:rsidP="009B33FD">
            <w:pPr>
              <w:spacing w:before="225" w:after="225" w:line="276" w:lineRule="auto"/>
              <w:jc w:val="both"/>
              <w:rPr>
                <w:highlight w:val="yellow"/>
              </w:rPr>
            </w:pPr>
            <w:hyperlink r:id="rId17" w:tgtFrame="_blank" w:history="1">
              <w:r w:rsidR="008F0143" w:rsidRPr="00116454">
                <w:rPr>
                  <w:rFonts w:ascii="HelveticaNeueLT Std" w:hAnsi="HelveticaNeueLT Std" w:cs="Arial"/>
                  <w:b/>
                  <w:bCs/>
                  <w:sz w:val="20"/>
                  <w:szCs w:val="20"/>
                </w:rPr>
                <w:t>Decreto Número 100.- por el que se reforma el artículo 56, el primer párrafo de la fracción I, el primer párrafo de la fracción II y el primer párrafo del artículo 57, el primer párrafo del artículo 58, el artículo 59, el artículo 61 y el articulo 73; se adiciona el artículo 59 Bis de la Ley Orgánica Municipal del Estado de México.</w:t>
              </w:r>
            </w:hyperlink>
          </w:p>
        </w:tc>
        <w:tc>
          <w:tcPr>
            <w:tcW w:w="7938" w:type="dxa"/>
            <w:tcBorders>
              <w:top w:val="nil"/>
              <w:bottom w:val="single" w:sz="4" w:space="0" w:color="auto"/>
            </w:tcBorders>
          </w:tcPr>
          <w:p w14:paraId="7B117A9F" w14:textId="77777777" w:rsidR="008F0143" w:rsidRDefault="008F0143" w:rsidP="009C4E02">
            <w:pPr>
              <w:jc w:val="both"/>
              <w:rPr>
                <w:rFonts w:ascii="HelveticaNeueLT Std" w:hAnsi="HelveticaNeueLT Std" w:cs="Arial"/>
                <w:bCs/>
                <w:sz w:val="20"/>
                <w:szCs w:val="20"/>
                <w:lang w:eastAsia="es-MX"/>
              </w:rPr>
            </w:pPr>
          </w:p>
          <w:p w14:paraId="6AE7ECDF" w14:textId="51A8C4F8" w:rsidR="008F0143" w:rsidRDefault="008F0143" w:rsidP="009C4E02">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w:t>
            </w:r>
            <w:r w:rsidR="005A7D78">
              <w:rPr>
                <w:rFonts w:ascii="HelveticaNeueLT Std" w:hAnsi="HelveticaNeueLT Std" w:cs="Arial"/>
                <w:bCs/>
                <w:sz w:val="20"/>
                <w:szCs w:val="20"/>
                <w:lang w:eastAsia="es-MX"/>
              </w:rPr>
              <w:t>establece</w:t>
            </w:r>
            <w:r w:rsidR="00BD0205">
              <w:rPr>
                <w:rFonts w:ascii="HelveticaNeueLT Std" w:hAnsi="HelveticaNeueLT Std" w:cs="Arial"/>
                <w:bCs/>
                <w:sz w:val="20"/>
                <w:szCs w:val="20"/>
                <w:lang w:eastAsia="es-MX"/>
              </w:rPr>
              <w:t>:</w:t>
            </w:r>
          </w:p>
          <w:p w14:paraId="6DB993BA" w14:textId="77777777" w:rsidR="00D84E62" w:rsidRDefault="00D84E62" w:rsidP="00D84E62">
            <w:pPr>
              <w:jc w:val="both"/>
              <w:rPr>
                <w:rFonts w:ascii="HelveticaNeueLT Std" w:hAnsi="HelveticaNeueLT Std" w:cs="Arial"/>
                <w:bCs/>
                <w:sz w:val="20"/>
                <w:szCs w:val="20"/>
                <w:lang w:eastAsia="es-MX"/>
              </w:rPr>
            </w:pPr>
          </w:p>
          <w:p w14:paraId="4F889BD6" w14:textId="77777777" w:rsidR="00D84E62" w:rsidRPr="00D84E62" w:rsidRDefault="00D84E62" w:rsidP="00D84E62">
            <w:pPr>
              <w:pStyle w:val="Prrafodelista"/>
              <w:numPr>
                <w:ilvl w:val="0"/>
                <w:numId w:val="19"/>
              </w:numPr>
              <w:jc w:val="both"/>
              <w:rPr>
                <w:rFonts w:ascii="HelveticaNeueLT Std" w:hAnsi="HelveticaNeueLT Std" w:cs="Arial"/>
                <w:bCs/>
                <w:sz w:val="20"/>
                <w:szCs w:val="20"/>
                <w:lang w:eastAsia="es-MX"/>
              </w:rPr>
            </w:pPr>
            <w:r w:rsidRPr="00D84E62">
              <w:rPr>
                <w:rFonts w:ascii="HelveticaNeueLT Std" w:hAnsi="HelveticaNeueLT Std" w:cs="Arial"/>
                <w:bCs/>
                <w:sz w:val="20"/>
                <w:szCs w:val="20"/>
                <w:lang w:eastAsia="es-MX"/>
              </w:rPr>
              <w:t>En apoyo de las funciones encomendadas al municipio encontramos la figura jurídica de las autoridades auxiliares, esto es, de “Los Delegados y Subdelegados y los Jefes de Sector o de Sección y Jefes de Manzana que destine el Ayuntamiento”, con independencia de que la Administración Municipal se auxilia, además, de Comisiones y Consejos de Participación Ciudadana para el mejor desempeño de sus funciones públicas.</w:t>
            </w:r>
          </w:p>
          <w:p w14:paraId="178870E9" w14:textId="7589DF80" w:rsidR="00D84E62" w:rsidRDefault="00D84E62" w:rsidP="00D84E62">
            <w:pPr>
              <w:jc w:val="both"/>
              <w:rPr>
                <w:rFonts w:ascii="HelveticaNeueLT Std" w:hAnsi="HelveticaNeueLT Std" w:cs="Arial"/>
                <w:bCs/>
                <w:sz w:val="20"/>
                <w:szCs w:val="20"/>
                <w:lang w:eastAsia="es-MX"/>
              </w:rPr>
            </w:pPr>
          </w:p>
          <w:p w14:paraId="695D0F6C" w14:textId="57DD31B5" w:rsidR="00E31538" w:rsidRPr="00E31538" w:rsidRDefault="002F6D35" w:rsidP="00E31538">
            <w:pPr>
              <w:pStyle w:val="Prrafodelista"/>
              <w:numPr>
                <w:ilvl w:val="0"/>
                <w:numId w:val="19"/>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Se establece</w:t>
            </w:r>
            <w:r w:rsidR="00E31538" w:rsidRPr="00E31538">
              <w:rPr>
                <w:rFonts w:ascii="HelveticaNeueLT Std" w:hAnsi="HelveticaNeueLT Std" w:cs="Arial"/>
                <w:bCs/>
                <w:sz w:val="20"/>
                <w:szCs w:val="20"/>
                <w:lang w:eastAsia="es-MX"/>
              </w:rPr>
              <w:t xml:space="preserve"> la paridad como regla general en los procesos democráticos, desde el más cercano a la población, hasta los grandes procesos electorales federales, se evita el predominio de un solo género en la esfera pública y política, logrando que las mujeres también puedan acceder a cargos públicos y de representación, como se plantea en las propuestas legislativas.</w:t>
            </w:r>
          </w:p>
          <w:p w14:paraId="0368B790" w14:textId="4C943A3C" w:rsidR="00E31538" w:rsidRDefault="00E31538" w:rsidP="00D84E62">
            <w:pPr>
              <w:jc w:val="both"/>
              <w:rPr>
                <w:rFonts w:ascii="HelveticaNeueLT Std" w:hAnsi="HelveticaNeueLT Std" w:cs="Arial"/>
                <w:bCs/>
                <w:sz w:val="20"/>
                <w:szCs w:val="20"/>
                <w:lang w:eastAsia="es-MX"/>
              </w:rPr>
            </w:pPr>
          </w:p>
          <w:p w14:paraId="7A50452D" w14:textId="779365B0" w:rsidR="00D84E62" w:rsidRDefault="00D84E62" w:rsidP="00731765">
            <w:pPr>
              <w:pStyle w:val="Prrafodelista"/>
              <w:numPr>
                <w:ilvl w:val="0"/>
                <w:numId w:val="19"/>
              </w:numPr>
              <w:jc w:val="both"/>
              <w:rPr>
                <w:rFonts w:ascii="HelveticaNeueLT Std" w:hAnsi="HelveticaNeueLT Std" w:cs="Arial"/>
                <w:bCs/>
                <w:sz w:val="20"/>
                <w:szCs w:val="20"/>
                <w:lang w:eastAsia="es-MX"/>
              </w:rPr>
            </w:pPr>
            <w:r w:rsidRPr="00D84E62">
              <w:rPr>
                <w:rFonts w:ascii="HelveticaNeueLT Std" w:hAnsi="HelveticaNeueLT Std" w:cs="Arial"/>
                <w:bCs/>
                <w:sz w:val="20"/>
                <w:szCs w:val="20"/>
                <w:lang w:eastAsia="es-MX"/>
              </w:rPr>
              <w:t>Las autoridades auxiliares son un enlace entre la sociedad y los Gobiernos Municipales, y actúan en cada localidad como representantes políticos y a</w:t>
            </w:r>
            <w:r w:rsidR="00731765">
              <w:rPr>
                <w:rFonts w:ascii="HelveticaNeueLT Std" w:hAnsi="HelveticaNeueLT Std" w:cs="Arial"/>
                <w:bCs/>
                <w:sz w:val="20"/>
                <w:szCs w:val="20"/>
                <w:lang w:eastAsia="es-MX"/>
              </w:rPr>
              <w:t>dministrativos del Ayuntamiento.</w:t>
            </w:r>
          </w:p>
        </w:tc>
      </w:tr>
    </w:tbl>
    <w:p w14:paraId="02DC87B7" w14:textId="138F3107" w:rsidR="00CB1032"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p w14:paraId="77589170" w14:textId="56D07B88" w:rsidR="006277BE" w:rsidRDefault="006277BE" w:rsidP="00B60377">
      <w:pPr>
        <w:autoSpaceDE w:val="0"/>
        <w:autoSpaceDN w:val="0"/>
        <w:adjustRightInd w:val="0"/>
        <w:spacing w:line="276" w:lineRule="auto"/>
        <w:jc w:val="both"/>
        <w:rPr>
          <w:rFonts w:ascii="HelveticaNeueLT Std" w:hAnsi="HelveticaNeueLT Std" w:cs="Arial"/>
          <w:bCs/>
          <w:sz w:val="20"/>
          <w:szCs w:val="20"/>
          <w:lang w:eastAsia="es-MX"/>
        </w:rPr>
      </w:pPr>
    </w:p>
    <w:sectPr w:rsidR="006277BE" w:rsidSect="00CB1032">
      <w:footerReference w:type="default" r:id="rId18"/>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C4A77" w14:textId="77777777" w:rsidR="006821BC" w:rsidRDefault="006821BC" w:rsidP="00FA6D75">
      <w:r>
        <w:separator/>
      </w:r>
    </w:p>
  </w:endnote>
  <w:endnote w:type="continuationSeparator" w:id="0">
    <w:p w14:paraId="29634808" w14:textId="77777777" w:rsidR="006821BC" w:rsidRDefault="006821BC"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C03EBE3" w:rsidR="007A38ED" w:rsidRPr="00E4530F" w:rsidRDefault="006821BC"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2F111A">
              <w:rPr>
                <w:rFonts w:ascii="Arial" w:hAnsi="Arial" w:cs="Arial"/>
                <w:b/>
                <w:noProof/>
                <w:sz w:val="20"/>
                <w:szCs w:val="20"/>
              </w:rPr>
              <w:t>13</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2F111A">
              <w:rPr>
                <w:rFonts w:ascii="Arial" w:hAnsi="Arial" w:cs="Arial"/>
                <w:b/>
                <w:noProof/>
                <w:sz w:val="20"/>
                <w:szCs w:val="20"/>
              </w:rPr>
              <w:t>13</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EC2D" w14:textId="77777777" w:rsidR="006821BC" w:rsidRDefault="006821BC" w:rsidP="00FA6D75">
      <w:r>
        <w:separator/>
      </w:r>
    </w:p>
  </w:footnote>
  <w:footnote w:type="continuationSeparator" w:id="0">
    <w:p w14:paraId="0A78B2C1" w14:textId="77777777" w:rsidR="006821BC" w:rsidRDefault="006821BC"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6B2408"/>
    <w:multiLevelType w:val="hybridMultilevel"/>
    <w:tmpl w:val="F51A8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15"/>
  </w:num>
  <w:num w:numId="5">
    <w:abstractNumId w:val="16"/>
  </w:num>
  <w:num w:numId="6">
    <w:abstractNumId w:val="11"/>
  </w:num>
  <w:num w:numId="7">
    <w:abstractNumId w:val="7"/>
  </w:num>
  <w:num w:numId="8">
    <w:abstractNumId w:val="3"/>
  </w:num>
  <w:num w:numId="9">
    <w:abstractNumId w:val="4"/>
  </w:num>
  <w:num w:numId="10">
    <w:abstractNumId w:val="10"/>
  </w:num>
  <w:num w:numId="11">
    <w:abstractNumId w:val="17"/>
  </w:num>
  <w:num w:numId="12">
    <w:abstractNumId w:val="0"/>
  </w:num>
  <w:num w:numId="13">
    <w:abstractNumId w:val="19"/>
  </w:num>
  <w:num w:numId="14">
    <w:abstractNumId w:val="14"/>
  </w:num>
  <w:num w:numId="15">
    <w:abstractNumId w:val="18"/>
  </w:num>
  <w:num w:numId="16">
    <w:abstractNumId w:val="2"/>
  </w:num>
  <w:num w:numId="17">
    <w:abstractNumId w:val="6"/>
  </w:num>
  <w:num w:numId="18">
    <w:abstractNumId w:val="12"/>
  </w:num>
  <w:num w:numId="19">
    <w:abstractNumId w:val="8"/>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BF2"/>
    <w:rsid w:val="00015439"/>
    <w:rsid w:val="00015D02"/>
    <w:rsid w:val="00015FE2"/>
    <w:rsid w:val="00016170"/>
    <w:rsid w:val="0001678D"/>
    <w:rsid w:val="0001710F"/>
    <w:rsid w:val="0001721C"/>
    <w:rsid w:val="00020770"/>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8EC"/>
    <w:rsid w:val="00062390"/>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79"/>
    <w:rsid w:val="000C13BF"/>
    <w:rsid w:val="000C1CE3"/>
    <w:rsid w:val="000C273B"/>
    <w:rsid w:val="000C29D6"/>
    <w:rsid w:val="000C2A51"/>
    <w:rsid w:val="000C2FA9"/>
    <w:rsid w:val="000C403C"/>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2C8B"/>
    <w:rsid w:val="000F35B3"/>
    <w:rsid w:val="000F3F2E"/>
    <w:rsid w:val="000F421B"/>
    <w:rsid w:val="000F43AF"/>
    <w:rsid w:val="000F6AE0"/>
    <w:rsid w:val="000F7537"/>
    <w:rsid w:val="000F7859"/>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173"/>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75E8"/>
    <w:rsid w:val="0018776D"/>
    <w:rsid w:val="00190687"/>
    <w:rsid w:val="00190DE3"/>
    <w:rsid w:val="00190DFA"/>
    <w:rsid w:val="001910B1"/>
    <w:rsid w:val="00191630"/>
    <w:rsid w:val="00191845"/>
    <w:rsid w:val="00191AF1"/>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048"/>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CC0"/>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11A"/>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84E"/>
    <w:rsid w:val="003B3CA9"/>
    <w:rsid w:val="003B560A"/>
    <w:rsid w:val="003B56B7"/>
    <w:rsid w:val="003B5AFE"/>
    <w:rsid w:val="003B661B"/>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710B"/>
    <w:rsid w:val="004371B9"/>
    <w:rsid w:val="00437979"/>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18FE"/>
    <w:rsid w:val="004921C7"/>
    <w:rsid w:val="0049229D"/>
    <w:rsid w:val="00492A20"/>
    <w:rsid w:val="00492CD1"/>
    <w:rsid w:val="00493071"/>
    <w:rsid w:val="0049321E"/>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1D99"/>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B7FEF"/>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81493"/>
    <w:rsid w:val="006821BC"/>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C9D"/>
    <w:rsid w:val="006C6330"/>
    <w:rsid w:val="006C6BBA"/>
    <w:rsid w:val="006C759D"/>
    <w:rsid w:val="006C7BDC"/>
    <w:rsid w:val="006D0DE1"/>
    <w:rsid w:val="006D1B9E"/>
    <w:rsid w:val="006D21CC"/>
    <w:rsid w:val="006D252B"/>
    <w:rsid w:val="006D30FB"/>
    <w:rsid w:val="006D32D0"/>
    <w:rsid w:val="006D38B7"/>
    <w:rsid w:val="006D40E5"/>
    <w:rsid w:val="006D537E"/>
    <w:rsid w:val="006D6A4E"/>
    <w:rsid w:val="006E1408"/>
    <w:rsid w:val="006E237A"/>
    <w:rsid w:val="006E26FC"/>
    <w:rsid w:val="006E2C5D"/>
    <w:rsid w:val="006E2F1B"/>
    <w:rsid w:val="006E39F9"/>
    <w:rsid w:val="006E3AB0"/>
    <w:rsid w:val="006E4D37"/>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7D1"/>
    <w:rsid w:val="006F58EF"/>
    <w:rsid w:val="006F5B26"/>
    <w:rsid w:val="006F6548"/>
    <w:rsid w:val="006F6A78"/>
    <w:rsid w:val="006F70C5"/>
    <w:rsid w:val="006F723B"/>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1765"/>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3B4"/>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48F5"/>
    <w:rsid w:val="007A552B"/>
    <w:rsid w:val="007A5C10"/>
    <w:rsid w:val="007A62F7"/>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0EC"/>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51B"/>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01A"/>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F9E"/>
    <w:rsid w:val="00961608"/>
    <w:rsid w:val="00961BFE"/>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1BE"/>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1F41"/>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A6"/>
    <w:rsid w:val="00BF0DFB"/>
    <w:rsid w:val="00BF15BC"/>
    <w:rsid w:val="00BF1791"/>
    <w:rsid w:val="00BF19B6"/>
    <w:rsid w:val="00BF1C4B"/>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E9D"/>
    <w:rsid w:val="00C75743"/>
    <w:rsid w:val="00C757F7"/>
    <w:rsid w:val="00C772F2"/>
    <w:rsid w:val="00C7796C"/>
    <w:rsid w:val="00C77D9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1D3"/>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AE7"/>
    <w:rsid w:val="00E26C03"/>
    <w:rsid w:val="00E26C0C"/>
    <w:rsid w:val="00E2701C"/>
    <w:rsid w:val="00E27201"/>
    <w:rsid w:val="00E27A20"/>
    <w:rsid w:val="00E30378"/>
    <w:rsid w:val="00E305A3"/>
    <w:rsid w:val="00E3064A"/>
    <w:rsid w:val="00E307A5"/>
    <w:rsid w:val="00E31538"/>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20B"/>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A79C8"/>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308"/>
    <w:rsid w:val="00F43439"/>
    <w:rsid w:val="00F43611"/>
    <w:rsid w:val="00F43DBB"/>
    <w:rsid w:val="00F44416"/>
    <w:rsid w:val="00F44D15"/>
    <w:rsid w:val="00F44DFB"/>
    <w:rsid w:val="00F458A7"/>
    <w:rsid w:val="00F458DC"/>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7C5"/>
    <w:rsid w:val="00F93EB4"/>
    <w:rsid w:val="00F942E7"/>
    <w:rsid w:val="00F94432"/>
    <w:rsid w:val="00F948C1"/>
    <w:rsid w:val="00F949DF"/>
    <w:rsid w:val="00F94D77"/>
    <w:rsid w:val="00F97E22"/>
    <w:rsid w:val="00FA1294"/>
    <w:rsid w:val="00FA150D"/>
    <w:rsid w:val="00FA1712"/>
    <w:rsid w:val="00FA1EA4"/>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51BB"/>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ubre/oct061/oct061c.pdf" TargetMode="External"/><Relationship Id="rId13" Type="http://schemas.openxmlformats.org/officeDocument/2006/relationships/hyperlink" Target="https://legislacion.edomex.gob.mx/sites/legislacion.edomex.gob.mx/files/files/pdf/gct/2022/octubre/oct101/oct101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2/octubre/oct101/oct101d.pdf" TargetMode="External"/><Relationship Id="rId17" Type="http://schemas.openxmlformats.org/officeDocument/2006/relationships/hyperlink" Target="https://legislacion.edomex.gob.mx/sites/legislacion.edomex.gob.mx/files/files/pdf/gct/2022/octubre/oct212/oct212h.pdf" TargetMode="Externa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2/octubre/oct201/oct201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octubre/oct101/oct101c.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2/octubre/oct131/oct131a.pdf" TargetMode="External"/><Relationship Id="rId10" Type="http://schemas.openxmlformats.org/officeDocument/2006/relationships/hyperlink" Target="https://legislacion.edomex.gob.mx/sites/legislacion.edomex.gob.mx/files/files/pdf/gct/2022/octubre/oct101/oct101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octubre/oct072/oct072i.pdf" TargetMode="External"/><Relationship Id="rId14" Type="http://schemas.openxmlformats.org/officeDocument/2006/relationships/hyperlink" Target="https://legislacion.edomex.gob.mx/sites/legislacion.edomex.gob.mx/files/files/pdf/gct/2022/octubre/oct101/oct10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2ADE-72C2-4C86-B27F-DD94DB6B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13</Pages>
  <Words>4142</Words>
  <Characters>22782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170</cp:revision>
  <cp:lastPrinted>2021-02-02T18:14:00Z</cp:lastPrinted>
  <dcterms:created xsi:type="dcterms:W3CDTF">2020-01-30T22:48:00Z</dcterms:created>
  <dcterms:modified xsi:type="dcterms:W3CDTF">2022-11-03T17:02:00Z</dcterms:modified>
</cp:coreProperties>
</file>