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6A4C7F" w:rsidRPr="00CE62FF" w14:paraId="4C629D82" w14:textId="77777777" w:rsidTr="00652382">
        <w:trPr>
          <w:tblHeader/>
        </w:trPr>
        <w:tc>
          <w:tcPr>
            <w:tcW w:w="617" w:type="dxa"/>
            <w:shd w:val="clear" w:color="auto" w:fill="D9D9D9" w:themeFill="background1" w:themeFillShade="D9"/>
          </w:tcPr>
          <w:p w14:paraId="511EC25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 xml:space="preserve">No. </w:t>
            </w:r>
          </w:p>
        </w:tc>
        <w:tc>
          <w:tcPr>
            <w:tcW w:w="2127" w:type="dxa"/>
            <w:shd w:val="clear" w:color="auto" w:fill="D9D9D9" w:themeFill="background1" w:themeFillShade="D9"/>
          </w:tcPr>
          <w:p w14:paraId="24119DB4"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Fecha</w:t>
            </w:r>
          </w:p>
        </w:tc>
        <w:tc>
          <w:tcPr>
            <w:tcW w:w="2693" w:type="dxa"/>
            <w:shd w:val="clear" w:color="auto" w:fill="D9D9D9" w:themeFill="background1" w:themeFillShade="D9"/>
          </w:tcPr>
          <w:p w14:paraId="52DBDB08"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Apartado</w:t>
            </w:r>
          </w:p>
        </w:tc>
        <w:tc>
          <w:tcPr>
            <w:tcW w:w="2977" w:type="dxa"/>
            <w:shd w:val="clear" w:color="auto" w:fill="D9D9D9" w:themeFill="background1" w:themeFillShade="D9"/>
          </w:tcPr>
          <w:p w14:paraId="576E972C"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Contenido</w:t>
            </w:r>
          </w:p>
        </w:tc>
        <w:tc>
          <w:tcPr>
            <w:tcW w:w="5812" w:type="dxa"/>
            <w:shd w:val="clear" w:color="auto" w:fill="D9D9D9" w:themeFill="background1" w:themeFillShade="D9"/>
          </w:tcPr>
          <w:p w14:paraId="48AA67F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Observaciones</w:t>
            </w:r>
          </w:p>
        </w:tc>
      </w:tr>
      <w:tr w:rsidR="00C37572" w:rsidRPr="00CE62FF" w14:paraId="1F10F975" w14:textId="77777777" w:rsidTr="008B2830">
        <w:trPr>
          <w:trHeight w:val="6828"/>
        </w:trPr>
        <w:tc>
          <w:tcPr>
            <w:tcW w:w="617" w:type="dxa"/>
            <w:tcBorders>
              <w:top w:val="single" w:sz="4" w:space="0" w:color="auto"/>
              <w:bottom w:val="nil"/>
            </w:tcBorders>
            <w:shd w:val="clear" w:color="auto" w:fill="auto"/>
          </w:tcPr>
          <w:p w14:paraId="0FA15D68" w14:textId="7043D63E" w:rsidR="00C37572" w:rsidRDefault="00C37572" w:rsidP="00652382">
            <w:pPr>
              <w:rPr>
                <w:rFonts w:ascii="HelveticaNeueLT Std" w:hAnsi="HelveticaNeueLT Std" w:cs="Arial"/>
                <w:b/>
                <w:bCs/>
                <w:sz w:val="20"/>
                <w:szCs w:val="20"/>
              </w:rPr>
            </w:pPr>
            <w:r>
              <w:rPr>
                <w:rFonts w:ascii="HelveticaNeueLT Std" w:hAnsi="HelveticaNeueLT Std" w:cs="Arial"/>
                <w:b/>
                <w:bCs/>
                <w:sz w:val="20"/>
                <w:szCs w:val="20"/>
              </w:rPr>
              <w:t>08</w:t>
            </w:r>
          </w:p>
        </w:tc>
        <w:tc>
          <w:tcPr>
            <w:tcW w:w="2127" w:type="dxa"/>
            <w:tcBorders>
              <w:top w:val="single" w:sz="4" w:space="0" w:color="auto"/>
              <w:bottom w:val="nil"/>
            </w:tcBorders>
            <w:shd w:val="clear" w:color="auto" w:fill="auto"/>
          </w:tcPr>
          <w:p w14:paraId="3C890BF7" w14:textId="62B8A733" w:rsidR="00C37572" w:rsidRDefault="00C37572" w:rsidP="004F193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06-junio-2023</w:t>
            </w:r>
          </w:p>
        </w:tc>
        <w:tc>
          <w:tcPr>
            <w:tcW w:w="2693" w:type="dxa"/>
            <w:tcBorders>
              <w:top w:val="single" w:sz="4" w:space="0" w:color="auto"/>
              <w:bottom w:val="nil"/>
            </w:tcBorders>
            <w:shd w:val="clear" w:color="auto" w:fill="auto"/>
          </w:tcPr>
          <w:tbl>
            <w:tblPr>
              <w:tblW w:w="5000" w:type="pct"/>
              <w:tblCellSpacing w:w="0" w:type="dxa"/>
              <w:tblLayout w:type="fixed"/>
              <w:tblCellMar>
                <w:left w:w="0" w:type="dxa"/>
                <w:right w:w="0" w:type="dxa"/>
              </w:tblCellMar>
              <w:tblLook w:val="04A0" w:firstRow="1" w:lastRow="0" w:firstColumn="1" w:lastColumn="0" w:noHBand="0" w:noVBand="1"/>
            </w:tblPr>
            <w:tblGrid>
              <w:gridCol w:w="2533"/>
              <w:gridCol w:w="20"/>
            </w:tblGrid>
            <w:tr w:rsidR="00C37572" w:rsidRPr="00C37572" w14:paraId="19225A5C" w14:textId="77777777" w:rsidTr="00E10DC4">
              <w:trPr>
                <w:tblCellSpacing w:w="0" w:type="dxa"/>
              </w:trPr>
              <w:tc>
                <w:tcPr>
                  <w:tcW w:w="2533" w:type="dxa"/>
                  <w:vAlign w:val="center"/>
                  <w:hideMark/>
                </w:tcPr>
                <w:p w14:paraId="3368E226" w14:textId="7D32BD38" w:rsidR="00C37572" w:rsidRPr="00C37572" w:rsidRDefault="00C37572" w:rsidP="00C37572">
                  <w:pPr>
                    <w:jc w:val="both"/>
                    <w:rPr>
                      <w:rFonts w:ascii="HelveticaNeueLT Std" w:eastAsia="Times New Roman" w:hAnsi="HelveticaNeueLT Std" w:cs="Arial"/>
                      <w:b/>
                      <w:bCs/>
                      <w:sz w:val="20"/>
                      <w:szCs w:val="20"/>
                      <w:lang w:eastAsia="es-MX"/>
                    </w:rPr>
                  </w:pPr>
                </w:p>
              </w:tc>
              <w:tc>
                <w:tcPr>
                  <w:tcW w:w="20" w:type="dxa"/>
                  <w:vAlign w:val="center"/>
                  <w:hideMark/>
                </w:tcPr>
                <w:p w14:paraId="59B89469" w14:textId="77777777" w:rsidR="00C37572" w:rsidRPr="00C37572" w:rsidRDefault="00C37572" w:rsidP="00C37572">
                  <w:pPr>
                    <w:rPr>
                      <w:rFonts w:ascii="HelveticaNeueLT Std" w:eastAsia="Times New Roman" w:hAnsi="HelveticaNeueLT Std" w:cs="Arial"/>
                      <w:b/>
                      <w:bCs/>
                      <w:sz w:val="20"/>
                      <w:szCs w:val="20"/>
                      <w:lang w:eastAsia="es-MX"/>
                    </w:rPr>
                  </w:pPr>
                </w:p>
              </w:tc>
            </w:tr>
            <w:tr w:rsidR="00C37572" w:rsidRPr="00C37572" w14:paraId="35576E89" w14:textId="77777777" w:rsidTr="00E10DC4">
              <w:trPr>
                <w:tblCellSpacing w:w="0" w:type="dxa"/>
              </w:trPr>
              <w:tc>
                <w:tcPr>
                  <w:tcW w:w="2553" w:type="dxa"/>
                  <w:gridSpan w:val="2"/>
                  <w:shd w:val="clear" w:color="auto" w:fill="FFFFFF"/>
                  <w:vAlign w:val="center"/>
                  <w:hideMark/>
                </w:tcPr>
                <w:p w14:paraId="24A05130" w14:textId="168CB0A2" w:rsidR="00C37572" w:rsidRPr="00C37572" w:rsidRDefault="00E10DC4" w:rsidP="00E10DC4">
                  <w:pPr>
                    <w:jc w:val="center"/>
                    <w:rPr>
                      <w:rFonts w:ascii="HelveticaNeueLT Std" w:eastAsia="Times New Roman" w:hAnsi="HelveticaNeueLT Std" w:cs="Arial"/>
                      <w:b/>
                      <w:bCs/>
                      <w:sz w:val="20"/>
                      <w:szCs w:val="20"/>
                      <w:lang w:eastAsia="es-MX"/>
                    </w:rPr>
                  </w:pPr>
                  <w:r>
                    <w:rPr>
                      <w:rFonts w:ascii="HelveticaNeueLT Std" w:eastAsia="Times New Roman" w:hAnsi="HelveticaNeueLT Std" w:cs="Arial"/>
                      <w:b/>
                      <w:bCs/>
                      <w:sz w:val="20"/>
                      <w:szCs w:val="20"/>
                      <w:lang w:eastAsia="es-MX"/>
                    </w:rPr>
                    <w:t>Poder Ejecutivo</w:t>
                  </w:r>
                </w:p>
              </w:tc>
            </w:tr>
          </w:tbl>
          <w:p w14:paraId="709CCA82" w14:textId="03B65E09" w:rsidR="00C37572" w:rsidRPr="00C37572" w:rsidRDefault="00C37572" w:rsidP="005B51E2">
            <w:pPr>
              <w:pStyle w:val="Titulo1"/>
              <w:pBdr>
                <w:bottom w:val="none" w:sz="0" w:space="0" w:color="auto"/>
              </w:pBdr>
              <w:spacing w:before="0" w:line="276" w:lineRule="auto"/>
              <w:jc w:val="center"/>
              <w:rPr>
                <w:rFonts w:ascii="HelveticaNeueLT Std" w:hAnsi="HelveticaNeueLT Std"/>
                <w:bCs/>
                <w:sz w:val="20"/>
                <w:szCs w:val="20"/>
              </w:rPr>
            </w:pPr>
            <w:r>
              <w:rPr>
                <w:rFonts w:ascii="HelveticaNeueLT Std" w:hAnsi="HelveticaNeueLT Std"/>
                <w:bCs/>
                <w:sz w:val="20"/>
                <w:szCs w:val="20"/>
              </w:rPr>
              <w:t xml:space="preserve">Secretaría de Gobernación </w:t>
            </w:r>
          </w:p>
        </w:tc>
        <w:tc>
          <w:tcPr>
            <w:tcW w:w="2977" w:type="dxa"/>
            <w:tcBorders>
              <w:top w:val="single" w:sz="4" w:space="0" w:color="auto"/>
              <w:bottom w:val="nil"/>
            </w:tcBorders>
            <w:shd w:val="clear" w:color="auto" w:fill="auto"/>
          </w:tcPr>
          <w:p w14:paraId="4A11DDE1" w14:textId="1E920216" w:rsidR="00C37572" w:rsidRDefault="00846F31" w:rsidP="003E03BE">
            <w:pPr>
              <w:jc w:val="both"/>
            </w:pPr>
            <w:hyperlink r:id="rId8" w:history="1">
              <w:r w:rsidR="00C37572" w:rsidRPr="00C37572">
                <w:rPr>
                  <w:rFonts w:ascii="HelveticaNeueLT Std" w:eastAsia="Times New Roman" w:hAnsi="HelveticaNeueLT Std" w:cs="Arial"/>
                  <w:b/>
                  <w:bCs/>
                  <w:sz w:val="20"/>
                  <w:szCs w:val="20"/>
                  <w:lang w:eastAsia="es-MX"/>
                </w:rPr>
                <w:t>Decreto por el que se reforman los artículos 55 y 91 de la Constitución Política de los Estados Unidos Mexicanos, en materia de edad mínima para ocupar un cargo público.</w:t>
              </w:r>
            </w:hyperlink>
          </w:p>
        </w:tc>
        <w:tc>
          <w:tcPr>
            <w:tcW w:w="5812" w:type="dxa"/>
            <w:tcBorders>
              <w:top w:val="single" w:sz="4" w:space="0" w:color="auto"/>
              <w:bottom w:val="nil"/>
            </w:tcBorders>
            <w:shd w:val="clear" w:color="auto" w:fill="auto"/>
          </w:tcPr>
          <w:p w14:paraId="0181DC27" w14:textId="3F3F9ABF" w:rsidR="00C37572" w:rsidRDefault="00C113BA" w:rsidP="005B51E2">
            <w:pPr>
              <w:autoSpaceDE w:val="0"/>
              <w:autoSpaceDN w:val="0"/>
              <w:adjustRightInd w:val="0"/>
              <w:spacing w:line="276" w:lineRule="auto"/>
              <w:jc w:val="both"/>
              <w:rPr>
                <w:rFonts w:ascii="HelveticaNeueLT Std" w:hAnsi="HelveticaNeueLT Std"/>
                <w:sz w:val="20"/>
                <w:szCs w:val="22"/>
              </w:rPr>
            </w:pPr>
            <w:r w:rsidRPr="00C3655A">
              <w:rPr>
                <w:rFonts w:ascii="HelveticaNeueLT Std" w:hAnsi="HelveticaNeueLT Std"/>
                <w:b/>
                <w:bCs/>
                <w:sz w:val="20"/>
                <w:szCs w:val="22"/>
              </w:rPr>
              <w:t>Artículo Único. -</w:t>
            </w:r>
            <w:r w:rsidRPr="00C113BA">
              <w:rPr>
                <w:rFonts w:ascii="HelveticaNeueLT Std" w:hAnsi="HelveticaNeueLT Std"/>
                <w:sz w:val="20"/>
                <w:szCs w:val="22"/>
              </w:rPr>
              <w:t> Se reforman la fracción II del artículo 55 y el artículo 91 de la Constitución Política de los Estados Unidos Mexicanos, para quedar como sigue:</w:t>
            </w:r>
          </w:p>
          <w:p w14:paraId="0620792B" w14:textId="77777777" w:rsidR="00C113BA" w:rsidRDefault="00C113BA" w:rsidP="005B51E2">
            <w:pPr>
              <w:autoSpaceDE w:val="0"/>
              <w:autoSpaceDN w:val="0"/>
              <w:adjustRightInd w:val="0"/>
              <w:spacing w:line="276" w:lineRule="auto"/>
              <w:jc w:val="both"/>
              <w:rPr>
                <w:rFonts w:ascii="HelveticaNeueLT Std" w:hAnsi="HelveticaNeueLT Std"/>
                <w:sz w:val="20"/>
                <w:szCs w:val="22"/>
              </w:rPr>
            </w:pPr>
          </w:p>
          <w:p w14:paraId="3683691D" w14:textId="04F5B0CC" w:rsidR="00C113BA" w:rsidRDefault="00C113BA" w:rsidP="00C113BA">
            <w:pPr>
              <w:pStyle w:val="Prrafodelista"/>
              <w:numPr>
                <w:ilvl w:val="0"/>
                <w:numId w:val="45"/>
              </w:numPr>
              <w:shd w:val="clear" w:color="auto" w:fill="FFFFFF"/>
              <w:jc w:val="both"/>
              <w:rPr>
                <w:rFonts w:ascii="HelveticaNeueLT Std" w:hAnsi="HelveticaNeueLT Std"/>
                <w:sz w:val="20"/>
                <w:szCs w:val="22"/>
              </w:rPr>
            </w:pPr>
            <w:r w:rsidRPr="00C3655A">
              <w:rPr>
                <w:rFonts w:ascii="HelveticaNeueLT Std" w:hAnsi="HelveticaNeueLT Std"/>
                <w:b/>
                <w:bCs/>
                <w:sz w:val="20"/>
                <w:szCs w:val="22"/>
              </w:rPr>
              <w:t>Artículo 55.</w:t>
            </w:r>
            <w:r w:rsidRPr="00C113BA">
              <w:rPr>
                <w:rFonts w:ascii="HelveticaNeueLT Std" w:hAnsi="HelveticaNeueLT Std"/>
                <w:sz w:val="20"/>
                <w:szCs w:val="22"/>
              </w:rPr>
              <w:t> Para ser diputado se requiere:</w:t>
            </w:r>
          </w:p>
          <w:p w14:paraId="608C3C67" w14:textId="7EF62164" w:rsidR="00C3655A" w:rsidRDefault="00C3655A" w:rsidP="00C3655A">
            <w:pPr>
              <w:pStyle w:val="Prrafodelista"/>
              <w:shd w:val="clear" w:color="auto" w:fill="FFFFFF"/>
              <w:ind w:left="1008"/>
              <w:jc w:val="both"/>
              <w:rPr>
                <w:rFonts w:ascii="HelveticaNeueLT Std" w:hAnsi="HelveticaNeueLT Std"/>
                <w:sz w:val="20"/>
                <w:szCs w:val="22"/>
              </w:rPr>
            </w:pPr>
          </w:p>
          <w:p w14:paraId="436C01B3" w14:textId="2406FCDC" w:rsidR="00C3655A" w:rsidRPr="00C3655A" w:rsidRDefault="00C3655A" w:rsidP="0026655E">
            <w:pPr>
              <w:shd w:val="clear" w:color="auto" w:fill="FFFFFF"/>
              <w:ind w:left="986"/>
              <w:rPr>
                <w:rFonts w:ascii="HelveticaNeueLT Std" w:hAnsi="HelveticaNeueLT Std"/>
                <w:sz w:val="20"/>
                <w:szCs w:val="22"/>
              </w:rPr>
            </w:pPr>
            <w:r>
              <w:rPr>
                <w:rFonts w:ascii="HelveticaNeueLT Std" w:hAnsi="HelveticaNeueLT Std"/>
                <w:sz w:val="20"/>
                <w:szCs w:val="22"/>
              </w:rPr>
              <w:t>I</w:t>
            </w:r>
            <w:r w:rsidRPr="00C3655A">
              <w:rPr>
                <w:rFonts w:ascii="HelveticaNeueLT Std" w:hAnsi="HelveticaNeueLT Std"/>
                <w:sz w:val="20"/>
                <w:szCs w:val="22"/>
              </w:rPr>
              <w:t>…</w:t>
            </w:r>
          </w:p>
          <w:p w14:paraId="788B8CB5" w14:textId="157635F1" w:rsidR="00C3655A" w:rsidRPr="00C3655A" w:rsidRDefault="00C3655A" w:rsidP="0026655E">
            <w:pPr>
              <w:shd w:val="clear" w:color="auto" w:fill="FFFFFF"/>
              <w:ind w:left="986"/>
              <w:rPr>
                <w:rFonts w:ascii="HelveticaNeueLT Std" w:hAnsi="HelveticaNeueLT Std"/>
                <w:sz w:val="20"/>
                <w:szCs w:val="22"/>
              </w:rPr>
            </w:pPr>
            <w:r>
              <w:rPr>
                <w:rFonts w:ascii="HelveticaNeueLT Std" w:hAnsi="HelveticaNeueLT Std"/>
                <w:sz w:val="20"/>
                <w:szCs w:val="22"/>
              </w:rPr>
              <w:t xml:space="preserve">II. </w:t>
            </w:r>
            <w:r w:rsidRPr="00C3655A">
              <w:rPr>
                <w:rFonts w:ascii="HelveticaNeueLT Std" w:hAnsi="HelveticaNeueLT Std"/>
                <w:sz w:val="20"/>
                <w:szCs w:val="22"/>
              </w:rPr>
              <w:t>Tener dieciocho años cumplidos el día de la elección.</w:t>
            </w:r>
          </w:p>
          <w:p w14:paraId="4D25FA86" w14:textId="4D38A9F9" w:rsidR="00C3655A" w:rsidRPr="00C3655A" w:rsidRDefault="00C3655A" w:rsidP="0026655E">
            <w:pPr>
              <w:shd w:val="clear" w:color="auto" w:fill="FFFFFF"/>
              <w:ind w:left="986"/>
              <w:rPr>
                <w:rFonts w:ascii="HelveticaNeueLT Std" w:hAnsi="HelveticaNeueLT Std"/>
                <w:sz w:val="20"/>
                <w:szCs w:val="22"/>
              </w:rPr>
            </w:pPr>
            <w:r>
              <w:rPr>
                <w:rFonts w:ascii="HelveticaNeueLT Std" w:hAnsi="HelveticaNeueLT Std"/>
                <w:sz w:val="20"/>
                <w:szCs w:val="22"/>
              </w:rPr>
              <w:t>III. a VII. …</w:t>
            </w:r>
          </w:p>
          <w:p w14:paraId="4547F6BD" w14:textId="7E056ECD" w:rsidR="00C3655A" w:rsidRDefault="00C3655A" w:rsidP="00C3655A">
            <w:pPr>
              <w:shd w:val="clear" w:color="auto" w:fill="FFFFFF"/>
              <w:jc w:val="both"/>
              <w:rPr>
                <w:rFonts w:ascii="HelveticaNeueLT Std" w:hAnsi="HelveticaNeueLT Std"/>
                <w:sz w:val="20"/>
                <w:szCs w:val="22"/>
              </w:rPr>
            </w:pPr>
          </w:p>
          <w:p w14:paraId="3178A802" w14:textId="7CD2202D" w:rsidR="00C3655A" w:rsidRDefault="00C3655A" w:rsidP="00C3655A">
            <w:pPr>
              <w:shd w:val="clear" w:color="auto" w:fill="FFFFFF"/>
              <w:jc w:val="both"/>
              <w:rPr>
                <w:rFonts w:ascii="HelveticaNeueLT Std" w:hAnsi="HelveticaNeueLT Std"/>
                <w:sz w:val="20"/>
                <w:szCs w:val="22"/>
              </w:rPr>
            </w:pPr>
          </w:p>
          <w:p w14:paraId="24295B2E" w14:textId="726F62F4" w:rsidR="00C3655A" w:rsidRDefault="00C3655A" w:rsidP="00C3655A">
            <w:pPr>
              <w:pStyle w:val="Prrafodelista"/>
              <w:numPr>
                <w:ilvl w:val="0"/>
                <w:numId w:val="45"/>
              </w:numPr>
              <w:shd w:val="clear" w:color="auto" w:fill="FFFFFF"/>
              <w:jc w:val="both"/>
              <w:rPr>
                <w:rFonts w:ascii="HelveticaNeueLT Std" w:hAnsi="HelveticaNeueLT Std"/>
                <w:sz w:val="20"/>
                <w:szCs w:val="22"/>
              </w:rPr>
            </w:pPr>
            <w:r w:rsidRPr="00C3655A">
              <w:rPr>
                <w:rFonts w:ascii="HelveticaNeueLT Std" w:hAnsi="HelveticaNeueLT Std"/>
                <w:b/>
                <w:bCs/>
                <w:sz w:val="20"/>
                <w:szCs w:val="22"/>
              </w:rPr>
              <w:t>Artículo 91.</w:t>
            </w:r>
            <w:r w:rsidRPr="00C3655A">
              <w:rPr>
                <w:rFonts w:ascii="HelveticaNeueLT Std" w:hAnsi="HelveticaNeueLT Std"/>
                <w:sz w:val="20"/>
                <w:szCs w:val="22"/>
              </w:rPr>
              <w:t> Para ser Secretario de Estado se requiere: ser ciudadano mexicano por nacimiento, estar en ejercicio de sus derechos y tener veinticinco años cumplidos.</w:t>
            </w:r>
          </w:p>
          <w:p w14:paraId="36342E5E" w14:textId="77777777" w:rsidR="00C3655A" w:rsidRDefault="00C3655A" w:rsidP="00C3655A">
            <w:pPr>
              <w:pStyle w:val="Prrafodelista"/>
              <w:shd w:val="clear" w:color="auto" w:fill="FFFFFF"/>
              <w:ind w:left="1008"/>
              <w:jc w:val="both"/>
              <w:rPr>
                <w:rFonts w:ascii="HelveticaNeueLT Std" w:hAnsi="HelveticaNeueLT Std"/>
                <w:sz w:val="20"/>
                <w:szCs w:val="22"/>
              </w:rPr>
            </w:pPr>
          </w:p>
          <w:p w14:paraId="41BC645F" w14:textId="7A9FBAB0" w:rsidR="00C3655A" w:rsidRDefault="00C3655A" w:rsidP="00C3655A">
            <w:pPr>
              <w:pStyle w:val="Prrafodelista"/>
              <w:numPr>
                <w:ilvl w:val="0"/>
                <w:numId w:val="45"/>
              </w:numPr>
              <w:shd w:val="clear" w:color="auto" w:fill="FFFFFF"/>
              <w:jc w:val="both"/>
              <w:rPr>
                <w:rFonts w:ascii="HelveticaNeueLT Std" w:hAnsi="HelveticaNeueLT Std"/>
                <w:sz w:val="20"/>
                <w:szCs w:val="22"/>
              </w:rPr>
            </w:pPr>
            <w:r w:rsidRPr="00C3655A">
              <w:rPr>
                <w:rFonts w:ascii="HelveticaNeueLT Std" w:hAnsi="HelveticaNeueLT Std"/>
                <w:sz w:val="20"/>
                <w:szCs w:val="22"/>
              </w:rPr>
              <w:t xml:space="preserve">El presente Decreto entrará en vigor el día </w:t>
            </w:r>
            <w:r>
              <w:rPr>
                <w:rFonts w:ascii="HelveticaNeueLT Std" w:hAnsi="HelveticaNeueLT Std"/>
                <w:sz w:val="20"/>
                <w:szCs w:val="22"/>
              </w:rPr>
              <w:t>siete de junio de dos mil veintitrés.</w:t>
            </w:r>
          </w:p>
          <w:p w14:paraId="495E2C35" w14:textId="77777777" w:rsidR="00C3655A" w:rsidRPr="00C3655A" w:rsidRDefault="00C3655A" w:rsidP="00C3655A">
            <w:pPr>
              <w:pStyle w:val="Prrafodelista"/>
              <w:rPr>
                <w:rFonts w:ascii="HelveticaNeueLT Std" w:hAnsi="HelveticaNeueLT Std"/>
                <w:sz w:val="20"/>
                <w:szCs w:val="22"/>
              </w:rPr>
            </w:pPr>
          </w:p>
          <w:p w14:paraId="65FB1C4D" w14:textId="055EFB15" w:rsidR="00C113BA" w:rsidRPr="008B2830" w:rsidRDefault="00C3655A" w:rsidP="00DD13EC">
            <w:pPr>
              <w:pStyle w:val="Prrafodelista"/>
              <w:numPr>
                <w:ilvl w:val="0"/>
                <w:numId w:val="45"/>
              </w:numPr>
              <w:shd w:val="clear" w:color="auto" w:fill="FFFFFF"/>
              <w:ind w:hanging="432"/>
              <w:jc w:val="both"/>
              <w:rPr>
                <w:rFonts w:ascii="Arial" w:hAnsi="Arial" w:cs="Arial"/>
                <w:b/>
                <w:bCs/>
                <w:color w:val="2F2F2F"/>
                <w:sz w:val="18"/>
                <w:szCs w:val="18"/>
                <w:shd w:val="clear" w:color="auto" w:fill="FFFFFF"/>
              </w:rPr>
            </w:pPr>
            <w:r w:rsidRPr="008B2830">
              <w:rPr>
                <w:rFonts w:ascii="HelveticaNeueLT Std" w:hAnsi="HelveticaNeueLT Std"/>
                <w:sz w:val="20"/>
                <w:szCs w:val="22"/>
              </w:rPr>
              <w:t>Dentro de los 180 días naturales siguientes a su entrada en vigor, el Congreso de la Unión y las Legislaturas de las Entidades Federativas, deberán ajustar sus Constituciones y demás legislación que sea necesaria, a fin de dar cumplimiento al presente Decreto.</w:t>
            </w:r>
          </w:p>
          <w:p w14:paraId="2A79D5EF" w14:textId="276EF008" w:rsidR="00C113BA" w:rsidRPr="009824DB" w:rsidRDefault="00C113BA" w:rsidP="00C113BA">
            <w:pPr>
              <w:shd w:val="clear" w:color="auto" w:fill="FFFFFF"/>
              <w:ind w:hanging="432"/>
              <w:jc w:val="both"/>
              <w:rPr>
                <w:rFonts w:ascii="HelveticaNeueLT Std" w:hAnsi="HelveticaNeueLT Std"/>
                <w:sz w:val="20"/>
                <w:szCs w:val="22"/>
              </w:rPr>
            </w:pPr>
          </w:p>
        </w:tc>
      </w:tr>
      <w:tr w:rsidR="000C014F" w:rsidRPr="00CE62FF" w14:paraId="174818FA" w14:textId="77777777" w:rsidTr="00CA729A">
        <w:tc>
          <w:tcPr>
            <w:tcW w:w="617" w:type="dxa"/>
            <w:tcBorders>
              <w:top w:val="nil"/>
              <w:bottom w:val="single" w:sz="4" w:space="0" w:color="auto"/>
            </w:tcBorders>
            <w:shd w:val="clear" w:color="auto" w:fill="auto"/>
          </w:tcPr>
          <w:p w14:paraId="7FF21453" w14:textId="04847AC7" w:rsidR="000C014F" w:rsidRDefault="002511C0" w:rsidP="00652382">
            <w:pPr>
              <w:rPr>
                <w:rFonts w:ascii="HelveticaNeueLT Std" w:hAnsi="HelveticaNeueLT Std" w:cs="Arial"/>
                <w:b/>
                <w:bCs/>
                <w:sz w:val="20"/>
                <w:szCs w:val="20"/>
              </w:rPr>
            </w:pPr>
            <w:r>
              <w:rPr>
                <w:rFonts w:ascii="HelveticaNeueLT Std" w:hAnsi="HelveticaNeueLT Std" w:cs="Arial"/>
                <w:b/>
                <w:bCs/>
                <w:sz w:val="20"/>
                <w:szCs w:val="20"/>
              </w:rPr>
              <w:t>27</w:t>
            </w:r>
          </w:p>
        </w:tc>
        <w:tc>
          <w:tcPr>
            <w:tcW w:w="2127" w:type="dxa"/>
            <w:tcBorders>
              <w:top w:val="nil"/>
              <w:bottom w:val="single" w:sz="4" w:space="0" w:color="auto"/>
            </w:tcBorders>
            <w:shd w:val="clear" w:color="auto" w:fill="auto"/>
          </w:tcPr>
          <w:p w14:paraId="0502BA34" w14:textId="23A80407" w:rsidR="000C014F" w:rsidRDefault="002511C0" w:rsidP="004F193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26-junio-2023</w:t>
            </w:r>
          </w:p>
        </w:tc>
        <w:tc>
          <w:tcPr>
            <w:tcW w:w="2693" w:type="dxa"/>
            <w:tcBorders>
              <w:top w:val="nil"/>
              <w:bottom w:val="single" w:sz="4" w:space="0" w:color="auto"/>
            </w:tcBorders>
            <w:shd w:val="clear" w:color="auto" w:fill="auto"/>
          </w:tcPr>
          <w:p w14:paraId="77A99D6A" w14:textId="77777777" w:rsidR="00E10DC4" w:rsidRDefault="00E10DC4" w:rsidP="002511C0">
            <w:pPr>
              <w:jc w:val="center"/>
              <w:rPr>
                <w:rFonts w:ascii="HelveticaNeueLT Std" w:eastAsia="Times New Roman" w:hAnsi="HelveticaNeueLT Std" w:cs="Arial"/>
                <w:b/>
                <w:bCs/>
                <w:sz w:val="20"/>
                <w:szCs w:val="20"/>
                <w:lang w:eastAsia="es-MX"/>
              </w:rPr>
            </w:pPr>
            <w:r>
              <w:rPr>
                <w:rFonts w:ascii="HelveticaNeueLT Std" w:eastAsia="Times New Roman" w:hAnsi="HelveticaNeueLT Std" w:cs="Arial"/>
                <w:b/>
                <w:bCs/>
                <w:sz w:val="20"/>
                <w:szCs w:val="20"/>
                <w:lang w:eastAsia="es-MX"/>
              </w:rPr>
              <w:t>Poder Ejecutivo</w:t>
            </w:r>
            <w:r w:rsidRPr="002511C0">
              <w:rPr>
                <w:rFonts w:ascii="HelveticaNeueLT Std" w:eastAsia="Times New Roman" w:hAnsi="HelveticaNeueLT Std" w:cs="Arial"/>
                <w:b/>
                <w:bCs/>
                <w:sz w:val="20"/>
                <w:szCs w:val="20"/>
                <w:lang w:eastAsia="es-MX"/>
              </w:rPr>
              <w:t xml:space="preserve"> </w:t>
            </w:r>
          </w:p>
          <w:p w14:paraId="54AE0EB8" w14:textId="5726F14B" w:rsidR="000C014F" w:rsidRPr="00C37572" w:rsidRDefault="002511C0" w:rsidP="002511C0">
            <w:pPr>
              <w:jc w:val="center"/>
              <w:rPr>
                <w:rFonts w:ascii="HelveticaNeueLT Std" w:eastAsia="Times New Roman" w:hAnsi="HelveticaNeueLT Std" w:cs="Arial"/>
                <w:b/>
                <w:bCs/>
                <w:sz w:val="20"/>
                <w:szCs w:val="20"/>
                <w:lang w:eastAsia="es-MX"/>
              </w:rPr>
            </w:pPr>
            <w:r w:rsidRPr="002511C0">
              <w:rPr>
                <w:rFonts w:ascii="HelveticaNeueLT Std" w:eastAsia="Times New Roman" w:hAnsi="HelveticaNeueLT Std" w:cs="Arial"/>
                <w:b/>
                <w:bCs/>
                <w:sz w:val="20"/>
                <w:szCs w:val="20"/>
                <w:lang w:eastAsia="es-MX"/>
              </w:rPr>
              <w:t>Secretaría de Hacienda</w:t>
            </w:r>
            <w:r w:rsidR="00E10DC4">
              <w:rPr>
                <w:rFonts w:ascii="HelveticaNeueLT Std" w:eastAsia="Times New Roman" w:hAnsi="HelveticaNeueLT Std" w:cs="Arial"/>
                <w:b/>
                <w:bCs/>
                <w:sz w:val="20"/>
                <w:szCs w:val="20"/>
                <w:lang w:eastAsia="es-MX"/>
              </w:rPr>
              <w:t xml:space="preserve"> y Crédito Público </w:t>
            </w:r>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5"/>
              <w:gridCol w:w="2802"/>
            </w:tblGrid>
            <w:tr w:rsidR="002511C0" w14:paraId="4DF2E45F" w14:textId="77777777" w:rsidTr="002511C0">
              <w:trPr>
                <w:tblCellSpacing w:w="0" w:type="dxa"/>
              </w:trPr>
              <w:tc>
                <w:tcPr>
                  <w:tcW w:w="67" w:type="dxa"/>
                  <w:shd w:val="clear" w:color="auto" w:fill="FFFFFF"/>
                  <w:vAlign w:val="center"/>
                  <w:hideMark/>
                </w:tcPr>
                <w:p w14:paraId="02F5A214" w14:textId="77777777" w:rsidR="002511C0" w:rsidRDefault="002511C0" w:rsidP="002511C0">
                  <w:pPr>
                    <w:rPr>
                      <w:rFonts w:ascii="Arial" w:hAnsi="Arial" w:cs="Arial"/>
                      <w:color w:val="2F2F2F"/>
                      <w:sz w:val="22"/>
                      <w:szCs w:val="22"/>
                      <w:lang w:eastAsia="es-MX"/>
                    </w:rPr>
                  </w:pPr>
                  <w:r>
                    <w:rPr>
                      <w:rFonts w:ascii="Arial" w:hAnsi="Arial" w:cs="Arial"/>
                      <w:color w:val="2F2F2F"/>
                      <w:sz w:val="22"/>
                      <w:szCs w:val="22"/>
                    </w:rPr>
                    <w:t> </w:t>
                  </w:r>
                </w:p>
              </w:tc>
              <w:tc>
                <w:tcPr>
                  <w:tcW w:w="8771" w:type="dxa"/>
                  <w:shd w:val="clear" w:color="auto" w:fill="FFFFFF"/>
                  <w:vAlign w:val="center"/>
                  <w:hideMark/>
                </w:tcPr>
                <w:p w14:paraId="24578E18" w14:textId="77777777" w:rsidR="002511C0" w:rsidRDefault="00846F31" w:rsidP="002511C0">
                  <w:pPr>
                    <w:jc w:val="both"/>
                    <w:rPr>
                      <w:rFonts w:ascii="Arial" w:hAnsi="Arial" w:cs="Arial"/>
                      <w:color w:val="2F2F2F"/>
                      <w:sz w:val="22"/>
                      <w:szCs w:val="22"/>
                    </w:rPr>
                  </w:pPr>
                  <w:hyperlink r:id="rId9" w:history="1">
                    <w:r w:rsidR="002511C0" w:rsidRPr="002511C0">
                      <w:rPr>
                        <w:rFonts w:ascii="HelveticaNeueLT Std" w:eastAsia="Times New Roman" w:hAnsi="HelveticaNeueLT Std"/>
                        <w:b/>
                        <w:bCs/>
                        <w:sz w:val="20"/>
                        <w:szCs w:val="20"/>
                        <w:lang w:eastAsia="es-MX"/>
                      </w:rPr>
                      <w:t>Cuarta Resolución de Modificaciones a la Resolución Miscelánea Fiscal para 2023</w:t>
                    </w:r>
                  </w:hyperlink>
                </w:p>
              </w:tc>
            </w:tr>
          </w:tbl>
          <w:p w14:paraId="34777AAB" w14:textId="77777777" w:rsidR="000C014F" w:rsidRDefault="000C014F" w:rsidP="003E03BE">
            <w:pPr>
              <w:jc w:val="both"/>
            </w:pPr>
          </w:p>
        </w:tc>
        <w:tc>
          <w:tcPr>
            <w:tcW w:w="5812" w:type="dxa"/>
            <w:tcBorders>
              <w:top w:val="nil"/>
              <w:bottom w:val="single" w:sz="4" w:space="0" w:color="auto"/>
            </w:tcBorders>
            <w:shd w:val="clear" w:color="auto" w:fill="auto"/>
          </w:tcPr>
          <w:p w14:paraId="66A9B315" w14:textId="6DA3BB5F" w:rsidR="000C014F" w:rsidRPr="00C3655A" w:rsidRDefault="003437C9" w:rsidP="005B51E2">
            <w:pPr>
              <w:autoSpaceDE w:val="0"/>
              <w:autoSpaceDN w:val="0"/>
              <w:adjustRightInd w:val="0"/>
              <w:spacing w:line="276" w:lineRule="auto"/>
              <w:jc w:val="both"/>
              <w:rPr>
                <w:rFonts w:ascii="HelveticaNeueLT Std" w:hAnsi="HelveticaNeueLT Std"/>
                <w:b/>
                <w:bCs/>
                <w:sz w:val="20"/>
                <w:szCs w:val="22"/>
              </w:rPr>
            </w:pPr>
            <w:r w:rsidRPr="003437C9">
              <w:rPr>
                <w:rFonts w:ascii="HelveticaNeueLT Std" w:hAnsi="HelveticaNeueLT Std"/>
                <w:sz w:val="20"/>
                <w:szCs w:val="22"/>
              </w:rPr>
              <w:t>Se reforman las reglas 4.5.1., tercer párrafo, fracciones I y II y 13.1., fracción IV, y se adicionan las reglas 10.28.; 10.29.; 10.30.; 10.31.; 10.32. y 13.1., fracción V de la Resolución Miscelánea Fiscal para 2023, para quedar de la siguiente manera:</w:t>
            </w:r>
          </w:p>
        </w:tc>
      </w:tr>
      <w:tr w:rsidR="003437C9" w:rsidRPr="00CE62FF" w14:paraId="31341833" w14:textId="77777777" w:rsidTr="00CA729A">
        <w:tc>
          <w:tcPr>
            <w:tcW w:w="617" w:type="dxa"/>
            <w:tcBorders>
              <w:top w:val="single" w:sz="4" w:space="0" w:color="auto"/>
              <w:bottom w:val="nil"/>
            </w:tcBorders>
            <w:shd w:val="clear" w:color="auto" w:fill="auto"/>
          </w:tcPr>
          <w:p w14:paraId="019DF266" w14:textId="77777777" w:rsidR="003437C9" w:rsidRDefault="003437C9" w:rsidP="00652382">
            <w:pPr>
              <w:rPr>
                <w:rFonts w:ascii="HelveticaNeueLT Std" w:hAnsi="HelveticaNeueLT Std" w:cs="Arial"/>
                <w:b/>
                <w:bCs/>
                <w:sz w:val="20"/>
                <w:szCs w:val="20"/>
              </w:rPr>
            </w:pPr>
          </w:p>
        </w:tc>
        <w:tc>
          <w:tcPr>
            <w:tcW w:w="2127" w:type="dxa"/>
            <w:tcBorders>
              <w:top w:val="single" w:sz="4" w:space="0" w:color="auto"/>
              <w:bottom w:val="nil"/>
            </w:tcBorders>
            <w:shd w:val="clear" w:color="auto" w:fill="auto"/>
          </w:tcPr>
          <w:p w14:paraId="2368F4FE" w14:textId="77777777" w:rsidR="003437C9" w:rsidRDefault="003437C9" w:rsidP="004F1930">
            <w:pPr>
              <w:spacing w:line="276" w:lineRule="auto"/>
              <w:jc w:val="center"/>
              <w:rPr>
                <w:rFonts w:ascii="HelveticaNeueLT Std" w:hAnsi="HelveticaNeueLT Std" w:cs="Arial"/>
                <w:b/>
                <w:bCs/>
                <w:sz w:val="20"/>
                <w:szCs w:val="20"/>
              </w:rPr>
            </w:pPr>
          </w:p>
        </w:tc>
        <w:tc>
          <w:tcPr>
            <w:tcW w:w="2693" w:type="dxa"/>
            <w:tcBorders>
              <w:top w:val="single" w:sz="4" w:space="0" w:color="auto"/>
              <w:bottom w:val="nil"/>
            </w:tcBorders>
            <w:shd w:val="clear" w:color="auto" w:fill="auto"/>
          </w:tcPr>
          <w:p w14:paraId="0C8B881F" w14:textId="77777777" w:rsidR="003437C9" w:rsidRPr="002511C0" w:rsidRDefault="003437C9" w:rsidP="002511C0">
            <w:pPr>
              <w:jc w:val="center"/>
              <w:rPr>
                <w:rFonts w:ascii="HelveticaNeueLT Std" w:eastAsia="Times New Roman" w:hAnsi="HelveticaNeueLT Std" w:cs="Arial"/>
                <w:b/>
                <w:bCs/>
                <w:sz w:val="20"/>
                <w:szCs w:val="20"/>
                <w:lang w:eastAsia="es-MX"/>
              </w:rPr>
            </w:pPr>
          </w:p>
        </w:tc>
        <w:tc>
          <w:tcPr>
            <w:tcW w:w="2977" w:type="dxa"/>
            <w:tcBorders>
              <w:top w:val="single" w:sz="4" w:space="0" w:color="auto"/>
              <w:bottom w:val="nil"/>
            </w:tcBorders>
            <w:shd w:val="clear" w:color="auto" w:fill="auto"/>
          </w:tcPr>
          <w:p w14:paraId="5FF1D60E" w14:textId="77777777" w:rsidR="003437C9" w:rsidRDefault="003437C9" w:rsidP="002511C0">
            <w:pPr>
              <w:rPr>
                <w:rFonts w:ascii="Arial" w:hAnsi="Arial" w:cs="Arial"/>
                <w:color w:val="2F2F2F"/>
                <w:sz w:val="22"/>
                <w:szCs w:val="22"/>
              </w:rPr>
            </w:pPr>
          </w:p>
        </w:tc>
        <w:tc>
          <w:tcPr>
            <w:tcW w:w="5812" w:type="dxa"/>
            <w:tcBorders>
              <w:top w:val="single" w:sz="4" w:space="0" w:color="auto"/>
              <w:bottom w:val="nil"/>
            </w:tcBorders>
            <w:shd w:val="clear" w:color="auto" w:fill="auto"/>
          </w:tcPr>
          <w:p w14:paraId="51A6F542" w14:textId="77777777" w:rsidR="003437C9" w:rsidRDefault="003437C9" w:rsidP="003437C9">
            <w:pPr>
              <w:pStyle w:val="Prrafodelista"/>
              <w:numPr>
                <w:ilvl w:val="0"/>
                <w:numId w:val="48"/>
              </w:numPr>
              <w:autoSpaceDE w:val="0"/>
              <w:autoSpaceDN w:val="0"/>
              <w:adjustRightInd w:val="0"/>
              <w:spacing w:line="276" w:lineRule="auto"/>
              <w:jc w:val="both"/>
              <w:rPr>
                <w:rFonts w:ascii="HelveticaNeueLT Std" w:hAnsi="HelveticaNeueLT Std"/>
                <w:sz w:val="20"/>
                <w:szCs w:val="22"/>
              </w:rPr>
            </w:pPr>
            <w:r w:rsidRPr="003437C9">
              <w:rPr>
                <w:rFonts w:ascii="HelveticaNeueLT Std" w:hAnsi="HelveticaNeueLT Std"/>
                <w:sz w:val="20"/>
                <w:szCs w:val="22"/>
              </w:rPr>
              <w:t>4.5.1. Declaración informativa de operaciones con terceros a cargo de personas físicas y morales, formato, periodo y medio de presentación</w:t>
            </w:r>
            <w:r>
              <w:rPr>
                <w:rFonts w:ascii="HelveticaNeueLT Std" w:hAnsi="HelveticaNeueLT Std"/>
                <w:sz w:val="20"/>
                <w:szCs w:val="22"/>
              </w:rPr>
              <w:t>.</w:t>
            </w:r>
          </w:p>
          <w:p w14:paraId="16DB7A01" w14:textId="77777777" w:rsidR="003437C9" w:rsidRDefault="003437C9" w:rsidP="003437C9">
            <w:pPr>
              <w:pStyle w:val="Prrafodelista"/>
              <w:numPr>
                <w:ilvl w:val="0"/>
                <w:numId w:val="48"/>
              </w:numPr>
              <w:autoSpaceDE w:val="0"/>
              <w:autoSpaceDN w:val="0"/>
              <w:adjustRightInd w:val="0"/>
              <w:spacing w:line="276" w:lineRule="auto"/>
              <w:jc w:val="both"/>
              <w:rPr>
                <w:rFonts w:ascii="HelveticaNeueLT Std" w:hAnsi="HelveticaNeueLT Std"/>
                <w:sz w:val="20"/>
                <w:szCs w:val="22"/>
              </w:rPr>
            </w:pPr>
            <w:r w:rsidRPr="003437C9">
              <w:rPr>
                <w:rFonts w:ascii="HelveticaNeueLT Std" w:hAnsi="HelveticaNeueLT Std"/>
                <w:sz w:val="20"/>
                <w:szCs w:val="22"/>
              </w:rPr>
              <w:t>10.28.  Operación del asignatario designado como operador de un área unificada</w:t>
            </w:r>
            <w:r>
              <w:rPr>
                <w:rFonts w:ascii="HelveticaNeueLT Std" w:hAnsi="HelveticaNeueLT Std"/>
                <w:sz w:val="20"/>
                <w:szCs w:val="22"/>
              </w:rPr>
              <w:t>.</w:t>
            </w:r>
          </w:p>
          <w:p w14:paraId="2A61E0D6" w14:textId="77777777" w:rsidR="003437C9" w:rsidRPr="003437C9" w:rsidRDefault="003437C9" w:rsidP="003437C9">
            <w:pPr>
              <w:pStyle w:val="Prrafodelista"/>
              <w:numPr>
                <w:ilvl w:val="0"/>
                <w:numId w:val="48"/>
              </w:numPr>
              <w:autoSpaceDE w:val="0"/>
              <w:autoSpaceDN w:val="0"/>
              <w:adjustRightInd w:val="0"/>
              <w:spacing w:line="276" w:lineRule="auto"/>
              <w:jc w:val="both"/>
              <w:rPr>
                <w:rFonts w:ascii="HelveticaNeueLT Std" w:hAnsi="HelveticaNeueLT Std"/>
                <w:sz w:val="20"/>
                <w:szCs w:val="22"/>
              </w:rPr>
            </w:pPr>
            <w:r w:rsidRPr="003437C9">
              <w:rPr>
                <w:rFonts w:ascii="HelveticaNeueLT Std" w:hAnsi="HelveticaNeueLT Std"/>
                <w:sz w:val="20"/>
                <w:szCs w:val="22"/>
              </w:rPr>
              <w:t>10.29. Operación del contratista cuando un asignatario es designado como operador de un área unificada.</w:t>
            </w:r>
          </w:p>
          <w:p w14:paraId="7ABB38BB" w14:textId="77777777" w:rsidR="003437C9" w:rsidRDefault="003437C9" w:rsidP="003437C9">
            <w:pPr>
              <w:pStyle w:val="Prrafodelista"/>
              <w:numPr>
                <w:ilvl w:val="0"/>
                <w:numId w:val="48"/>
              </w:numPr>
              <w:autoSpaceDE w:val="0"/>
              <w:autoSpaceDN w:val="0"/>
              <w:adjustRightInd w:val="0"/>
              <w:spacing w:line="276" w:lineRule="auto"/>
              <w:jc w:val="both"/>
              <w:rPr>
                <w:rFonts w:ascii="HelveticaNeueLT Std" w:hAnsi="HelveticaNeueLT Std"/>
                <w:sz w:val="20"/>
                <w:szCs w:val="22"/>
              </w:rPr>
            </w:pPr>
            <w:r w:rsidRPr="003437C9">
              <w:rPr>
                <w:rFonts w:ascii="HelveticaNeueLT Std" w:hAnsi="HelveticaNeueLT Std"/>
                <w:sz w:val="20"/>
                <w:szCs w:val="22"/>
              </w:rPr>
              <w:t>10.30. Determinación del IVA por el asignatario designado como operador de un área unificada.</w:t>
            </w:r>
          </w:p>
          <w:p w14:paraId="239EB744" w14:textId="77777777" w:rsidR="003437C9" w:rsidRDefault="003437C9" w:rsidP="003437C9">
            <w:pPr>
              <w:pStyle w:val="Prrafodelista"/>
              <w:numPr>
                <w:ilvl w:val="0"/>
                <w:numId w:val="48"/>
              </w:numPr>
              <w:autoSpaceDE w:val="0"/>
              <w:autoSpaceDN w:val="0"/>
              <w:adjustRightInd w:val="0"/>
              <w:spacing w:line="276" w:lineRule="auto"/>
              <w:jc w:val="both"/>
              <w:rPr>
                <w:rFonts w:ascii="HelveticaNeueLT Std" w:hAnsi="HelveticaNeueLT Std"/>
                <w:sz w:val="20"/>
                <w:szCs w:val="22"/>
              </w:rPr>
            </w:pPr>
            <w:r w:rsidRPr="003437C9">
              <w:rPr>
                <w:rFonts w:ascii="HelveticaNeueLT Std" w:hAnsi="HelveticaNeueLT Std"/>
                <w:sz w:val="20"/>
                <w:szCs w:val="22"/>
              </w:rPr>
              <w:t>10.31.  Determinación del IVA acreditable por parte del contratista designado como operador del consorcio que forme parte de un área unificada donde un asignatario sea el operador.</w:t>
            </w:r>
          </w:p>
          <w:p w14:paraId="7AEED300" w14:textId="77777777" w:rsidR="003437C9" w:rsidRPr="003437C9" w:rsidRDefault="003437C9" w:rsidP="003437C9">
            <w:pPr>
              <w:pStyle w:val="Prrafodelista"/>
              <w:numPr>
                <w:ilvl w:val="0"/>
                <w:numId w:val="48"/>
              </w:numPr>
              <w:autoSpaceDE w:val="0"/>
              <w:autoSpaceDN w:val="0"/>
              <w:adjustRightInd w:val="0"/>
              <w:spacing w:line="276" w:lineRule="auto"/>
              <w:jc w:val="both"/>
              <w:rPr>
                <w:rFonts w:ascii="HelveticaNeueLT Std" w:hAnsi="HelveticaNeueLT Std"/>
                <w:sz w:val="20"/>
                <w:szCs w:val="22"/>
              </w:rPr>
            </w:pPr>
            <w:r w:rsidRPr="003437C9">
              <w:rPr>
                <w:rFonts w:ascii="HelveticaNeueLT Std" w:hAnsi="HelveticaNeueLT Std"/>
                <w:sz w:val="20"/>
                <w:szCs w:val="22"/>
              </w:rPr>
              <w:t>10.32. Comprobantes fiscales por los costos, gastos o inversiones efectuados por el asignatario designado como operador de un área unificada.</w:t>
            </w:r>
          </w:p>
          <w:p w14:paraId="17ECC5F3" w14:textId="77777777" w:rsidR="003437C9" w:rsidRDefault="003437C9" w:rsidP="003437C9">
            <w:pPr>
              <w:pStyle w:val="Prrafodelista"/>
              <w:numPr>
                <w:ilvl w:val="0"/>
                <w:numId w:val="48"/>
              </w:numPr>
              <w:autoSpaceDE w:val="0"/>
              <w:autoSpaceDN w:val="0"/>
              <w:adjustRightInd w:val="0"/>
              <w:spacing w:line="276" w:lineRule="auto"/>
              <w:jc w:val="both"/>
              <w:rPr>
                <w:rFonts w:ascii="HelveticaNeueLT Std" w:hAnsi="HelveticaNeueLT Std"/>
                <w:sz w:val="20"/>
                <w:szCs w:val="22"/>
              </w:rPr>
            </w:pPr>
            <w:r w:rsidRPr="003437C9">
              <w:rPr>
                <w:rFonts w:ascii="HelveticaNeueLT Std" w:hAnsi="HelveticaNeueLT Std"/>
                <w:sz w:val="20"/>
                <w:szCs w:val="22"/>
              </w:rPr>
              <w:t>13.1.   Declaración de pago de los derechos por la utilidad compartida y de extracción de hidrocarburos</w:t>
            </w:r>
            <w:r>
              <w:rPr>
                <w:rFonts w:ascii="HelveticaNeueLT Std" w:hAnsi="HelveticaNeueLT Std"/>
                <w:sz w:val="20"/>
                <w:szCs w:val="22"/>
              </w:rPr>
              <w:t>.</w:t>
            </w:r>
          </w:p>
          <w:p w14:paraId="2D705EE8" w14:textId="77777777" w:rsidR="003437C9" w:rsidRPr="00CA729A" w:rsidRDefault="003437C9" w:rsidP="003437C9">
            <w:pPr>
              <w:pStyle w:val="Prrafodelista"/>
              <w:numPr>
                <w:ilvl w:val="0"/>
                <w:numId w:val="48"/>
              </w:numPr>
              <w:autoSpaceDE w:val="0"/>
              <w:autoSpaceDN w:val="0"/>
              <w:adjustRightInd w:val="0"/>
              <w:spacing w:line="276" w:lineRule="auto"/>
              <w:jc w:val="both"/>
              <w:rPr>
                <w:rFonts w:ascii="HelveticaNeueLT Std" w:hAnsi="HelveticaNeueLT Std"/>
                <w:sz w:val="20"/>
                <w:szCs w:val="22"/>
              </w:rPr>
            </w:pPr>
            <w:r w:rsidRPr="003437C9">
              <w:rPr>
                <w:rFonts w:ascii="HelveticaNeueLT Std" w:hAnsi="HelveticaNeueLT Std"/>
                <w:sz w:val="20"/>
                <w:szCs w:val="22"/>
              </w:rPr>
              <w:t xml:space="preserve">La presente Resolución entrará en vigor el día </w:t>
            </w:r>
            <w:r>
              <w:rPr>
                <w:rFonts w:ascii="HelveticaNeueLT Std" w:hAnsi="HelveticaNeueLT Std"/>
                <w:sz w:val="20"/>
                <w:szCs w:val="22"/>
              </w:rPr>
              <w:t>veintisiete de junio de dos mil veintitrés.</w:t>
            </w:r>
            <w:r>
              <w:rPr>
                <w:rFonts w:ascii="Arial" w:hAnsi="Arial" w:cs="Arial"/>
                <w:color w:val="2F2F2F"/>
                <w:sz w:val="18"/>
                <w:szCs w:val="18"/>
                <w:shd w:val="clear" w:color="auto" w:fill="FFFFFF"/>
              </w:rPr>
              <w:t> </w:t>
            </w:r>
          </w:p>
          <w:p w14:paraId="5BADAF8A" w14:textId="747451BB" w:rsidR="00CA729A" w:rsidRPr="003437C9" w:rsidRDefault="00CA729A" w:rsidP="00CA729A">
            <w:pPr>
              <w:pStyle w:val="Prrafodelista"/>
              <w:autoSpaceDE w:val="0"/>
              <w:autoSpaceDN w:val="0"/>
              <w:adjustRightInd w:val="0"/>
              <w:spacing w:line="276" w:lineRule="auto"/>
              <w:jc w:val="both"/>
              <w:rPr>
                <w:rFonts w:ascii="HelveticaNeueLT Std" w:hAnsi="HelveticaNeueLT Std"/>
                <w:sz w:val="20"/>
                <w:szCs w:val="22"/>
              </w:rPr>
            </w:pPr>
          </w:p>
        </w:tc>
      </w:tr>
      <w:tr w:rsidR="003437C9" w:rsidRPr="00CE62FF" w14:paraId="4594205B" w14:textId="77777777" w:rsidTr="00CA729A">
        <w:tc>
          <w:tcPr>
            <w:tcW w:w="617" w:type="dxa"/>
            <w:tcBorders>
              <w:top w:val="nil"/>
              <w:bottom w:val="single" w:sz="4" w:space="0" w:color="auto"/>
            </w:tcBorders>
            <w:shd w:val="clear" w:color="auto" w:fill="auto"/>
          </w:tcPr>
          <w:p w14:paraId="186D07C8" w14:textId="488FDE7B" w:rsidR="003437C9" w:rsidRDefault="00BB6C0A" w:rsidP="00652382">
            <w:pPr>
              <w:rPr>
                <w:rFonts w:ascii="HelveticaNeueLT Std" w:hAnsi="HelveticaNeueLT Std" w:cs="Arial"/>
                <w:b/>
                <w:bCs/>
                <w:sz w:val="20"/>
                <w:szCs w:val="20"/>
              </w:rPr>
            </w:pPr>
            <w:r>
              <w:rPr>
                <w:rFonts w:ascii="HelveticaNeueLT Std" w:hAnsi="HelveticaNeueLT Std" w:cs="Arial"/>
                <w:b/>
                <w:bCs/>
                <w:sz w:val="20"/>
                <w:szCs w:val="20"/>
              </w:rPr>
              <w:t>30</w:t>
            </w:r>
          </w:p>
        </w:tc>
        <w:tc>
          <w:tcPr>
            <w:tcW w:w="2127" w:type="dxa"/>
            <w:tcBorders>
              <w:top w:val="nil"/>
              <w:bottom w:val="single" w:sz="4" w:space="0" w:color="auto"/>
            </w:tcBorders>
            <w:shd w:val="clear" w:color="auto" w:fill="auto"/>
          </w:tcPr>
          <w:p w14:paraId="29D03EA0" w14:textId="30827643" w:rsidR="003437C9" w:rsidRDefault="00BB6C0A" w:rsidP="004F193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28-junio-2023</w:t>
            </w:r>
          </w:p>
        </w:tc>
        <w:tc>
          <w:tcPr>
            <w:tcW w:w="2693" w:type="dxa"/>
            <w:tcBorders>
              <w:top w:val="nil"/>
              <w:bottom w:val="single" w:sz="4" w:space="0" w:color="auto"/>
            </w:tcBorders>
            <w:shd w:val="clear" w:color="auto" w:fill="auto"/>
          </w:tcPr>
          <w:p w14:paraId="7EFB3B28" w14:textId="208791F9" w:rsidR="00E10DC4" w:rsidRDefault="00E10DC4" w:rsidP="002511C0">
            <w:pPr>
              <w:jc w:val="center"/>
              <w:rPr>
                <w:rFonts w:ascii="HelveticaNeueLT Std" w:eastAsia="Times New Roman" w:hAnsi="HelveticaNeueLT Std" w:cs="Arial"/>
                <w:b/>
                <w:bCs/>
                <w:sz w:val="20"/>
                <w:szCs w:val="20"/>
                <w:lang w:eastAsia="es-MX"/>
              </w:rPr>
            </w:pPr>
            <w:r>
              <w:rPr>
                <w:rFonts w:ascii="HelveticaNeueLT Std" w:eastAsia="Times New Roman" w:hAnsi="HelveticaNeueLT Std" w:cs="Arial"/>
                <w:b/>
                <w:bCs/>
                <w:sz w:val="20"/>
                <w:szCs w:val="20"/>
                <w:lang w:eastAsia="es-MX"/>
              </w:rPr>
              <w:t>Poder Ejecutivo</w:t>
            </w:r>
          </w:p>
          <w:p w14:paraId="34FF5818" w14:textId="175A9DBE" w:rsidR="003437C9" w:rsidRPr="002511C0" w:rsidRDefault="00BB6C0A" w:rsidP="002511C0">
            <w:pPr>
              <w:jc w:val="center"/>
              <w:rPr>
                <w:rFonts w:ascii="HelveticaNeueLT Std" w:eastAsia="Times New Roman" w:hAnsi="HelveticaNeueLT Std" w:cs="Arial"/>
                <w:b/>
                <w:bCs/>
                <w:sz w:val="20"/>
                <w:szCs w:val="20"/>
                <w:lang w:eastAsia="es-MX"/>
              </w:rPr>
            </w:pPr>
            <w:r w:rsidRPr="002511C0">
              <w:rPr>
                <w:rFonts w:ascii="HelveticaNeueLT Std" w:eastAsia="Times New Roman" w:hAnsi="HelveticaNeueLT Std" w:cs="Arial"/>
                <w:b/>
                <w:bCs/>
                <w:sz w:val="20"/>
                <w:szCs w:val="20"/>
                <w:lang w:eastAsia="es-MX"/>
              </w:rPr>
              <w:t>Secretaría de Hacienda</w:t>
            </w:r>
            <w:r w:rsidR="00E10DC4">
              <w:rPr>
                <w:rFonts w:ascii="HelveticaNeueLT Std" w:eastAsia="Times New Roman" w:hAnsi="HelveticaNeueLT Std" w:cs="Arial"/>
                <w:b/>
                <w:bCs/>
                <w:sz w:val="20"/>
                <w:szCs w:val="20"/>
                <w:lang w:eastAsia="es-MX"/>
              </w:rPr>
              <w:t xml:space="preserve"> </w:t>
            </w:r>
            <w:r w:rsidR="00E10DC4">
              <w:rPr>
                <w:rFonts w:ascii="HelveticaNeueLT Std" w:eastAsia="Times New Roman" w:hAnsi="HelveticaNeueLT Std" w:cs="Arial"/>
                <w:b/>
                <w:bCs/>
                <w:sz w:val="20"/>
                <w:szCs w:val="20"/>
                <w:lang w:eastAsia="es-MX"/>
              </w:rPr>
              <w:t>y Crédito Público</w:t>
            </w:r>
            <w:bookmarkStart w:id="0" w:name="_GoBack"/>
            <w:bookmarkEnd w:id="0"/>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BB6C0A" w14:paraId="44285A44" w14:textId="77777777" w:rsidTr="00BB6C0A">
              <w:trPr>
                <w:tblCellSpacing w:w="0" w:type="dxa"/>
              </w:trPr>
              <w:tc>
                <w:tcPr>
                  <w:tcW w:w="8832" w:type="dxa"/>
                  <w:shd w:val="clear" w:color="auto" w:fill="FFFFFF"/>
                  <w:vAlign w:val="center"/>
                  <w:hideMark/>
                </w:tcPr>
                <w:p w14:paraId="35C7012E" w14:textId="77777777" w:rsidR="00BB6C0A" w:rsidRPr="00BB6C0A" w:rsidRDefault="00846F31" w:rsidP="00BB6C0A">
                  <w:pPr>
                    <w:jc w:val="both"/>
                    <w:rPr>
                      <w:rFonts w:ascii="HelveticaNeueLT Std" w:eastAsia="Times New Roman" w:hAnsi="HelveticaNeueLT Std"/>
                      <w:b/>
                      <w:bCs/>
                      <w:sz w:val="20"/>
                      <w:szCs w:val="20"/>
                      <w:lang w:eastAsia="es-MX"/>
                    </w:rPr>
                  </w:pPr>
                  <w:hyperlink r:id="rId10" w:history="1">
                    <w:r w:rsidR="00BB6C0A" w:rsidRPr="00BB6C0A">
                      <w:rPr>
                        <w:rFonts w:ascii="HelveticaNeueLT Std" w:eastAsia="Times New Roman" w:hAnsi="HelveticaNeueLT Std"/>
                        <w:b/>
                        <w:bCs/>
                        <w:sz w:val="20"/>
                        <w:szCs w:val="20"/>
                        <w:lang w:eastAsia="es-MX"/>
                      </w:rPr>
                      <w:t>Acuerdo por el cual se da a conocer el informe sobre la recaudación federal participable y las participaciones federales, así como los procedimientos de cálculo, por el mes de mayo de 2023 y por el ajuste definitivo de participaciones del ejercicio de 2022.</w:t>
                    </w:r>
                  </w:hyperlink>
                </w:p>
              </w:tc>
              <w:tc>
                <w:tcPr>
                  <w:tcW w:w="6" w:type="dxa"/>
                  <w:shd w:val="clear" w:color="auto" w:fill="FFFFFF"/>
                  <w:vAlign w:val="center"/>
                  <w:hideMark/>
                </w:tcPr>
                <w:p w14:paraId="2E851FF9" w14:textId="77777777" w:rsidR="00BB6C0A" w:rsidRDefault="00BB6C0A" w:rsidP="00BB6C0A">
                  <w:pPr>
                    <w:rPr>
                      <w:rFonts w:ascii="Arial" w:hAnsi="Arial" w:cs="Arial"/>
                      <w:color w:val="2F2F2F"/>
                      <w:sz w:val="22"/>
                      <w:szCs w:val="22"/>
                    </w:rPr>
                  </w:pPr>
                </w:p>
              </w:tc>
            </w:tr>
            <w:tr w:rsidR="00BB6C0A" w14:paraId="20472A96" w14:textId="77777777" w:rsidTr="00BB6C0A">
              <w:trPr>
                <w:trHeight w:val="180"/>
                <w:tblCellSpacing w:w="0" w:type="dxa"/>
              </w:trPr>
              <w:tc>
                <w:tcPr>
                  <w:tcW w:w="8832" w:type="dxa"/>
                  <w:shd w:val="clear" w:color="auto" w:fill="FFFFFF"/>
                  <w:hideMark/>
                </w:tcPr>
                <w:p w14:paraId="5B1BAF21" w14:textId="31D5A557" w:rsidR="00BB6C0A" w:rsidRPr="00BB6C0A" w:rsidRDefault="00BB6C0A" w:rsidP="00BB6C0A">
                  <w:pPr>
                    <w:jc w:val="both"/>
                    <w:rPr>
                      <w:rFonts w:ascii="HelveticaNeueLT Std" w:eastAsia="Times New Roman" w:hAnsi="HelveticaNeueLT Std"/>
                      <w:b/>
                      <w:bCs/>
                      <w:sz w:val="20"/>
                      <w:szCs w:val="20"/>
                      <w:lang w:eastAsia="es-MX"/>
                    </w:rPr>
                  </w:pPr>
                  <w:r w:rsidRPr="00BB6C0A">
                    <w:rPr>
                      <w:rFonts w:ascii="HelveticaNeueLT Std" w:eastAsia="Times New Roman" w:hAnsi="HelveticaNeueLT Std"/>
                      <w:b/>
                      <w:bCs/>
                      <w:noProof/>
                      <w:sz w:val="20"/>
                      <w:szCs w:val="20"/>
                      <w:lang w:eastAsia="es-MX"/>
                    </w:rPr>
                    <w:drawing>
                      <wp:inline distT="0" distB="0" distL="0" distR="0" wp14:anchorId="241ADE18" wp14:editId="0140E674">
                        <wp:extent cx="95250" cy="1143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501A6951" w14:textId="77777777" w:rsidR="00BB6C0A" w:rsidRDefault="00BB6C0A" w:rsidP="00BB6C0A">
                  <w:pPr>
                    <w:rPr>
                      <w:sz w:val="20"/>
                      <w:szCs w:val="20"/>
                    </w:rPr>
                  </w:pPr>
                </w:p>
              </w:tc>
            </w:tr>
          </w:tbl>
          <w:p w14:paraId="42E34DA3" w14:textId="77777777" w:rsidR="003437C9" w:rsidRDefault="003437C9" w:rsidP="002511C0">
            <w:pPr>
              <w:rPr>
                <w:rFonts w:ascii="Arial" w:hAnsi="Arial" w:cs="Arial"/>
                <w:color w:val="2F2F2F"/>
                <w:sz w:val="22"/>
                <w:szCs w:val="22"/>
              </w:rPr>
            </w:pPr>
          </w:p>
        </w:tc>
        <w:tc>
          <w:tcPr>
            <w:tcW w:w="5812" w:type="dxa"/>
            <w:tcBorders>
              <w:top w:val="nil"/>
              <w:bottom w:val="single" w:sz="4" w:space="0" w:color="auto"/>
            </w:tcBorders>
            <w:shd w:val="clear" w:color="auto" w:fill="auto"/>
          </w:tcPr>
          <w:p w14:paraId="61EFF5DB" w14:textId="77777777" w:rsidR="003437C9" w:rsidRDefault="00AB2517" w:rsidP="005B51E2">
            <w:p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A través del presente acuerdo se da a conocer:</w:t>
            </w:r>
          </w:p>
          <w:p w14:paraId="1AD0918E" w14:textId="77777777" w:rsidR="00AB2517" w:rsidRDefault="00AB2517" w:rsidP="005B51E2">
            <w:pPr>
              <w:autoSpaceDE w:val="0"/>
              <w:autoSpaceDN w:val="0"/>
              <w:adjustRightInd w:val="0"/>
              <w:spacing w:line="276" w:lineRule="auto"/>
              <w:jc w:val="both"/>
              <w:rPr>
                <w:rFonts w:ascii="HelveticaNeueLT Std" w:hAnsi="HelveticaNeueLT Std"/>
                <w:sz w:val="20"/>
                <w:szCs w:val="22"/>
              </w:rPr>
            </w:pPr>
          </w:p>
          <w:p w14:paraId="2526338B" w14:textId="0A53A0C5" w:rsidR="00AB2517" w:rsidRPr="00AB2517" w:rsidRDefault="00AB2517" w:rsidP="008B2830">
            <w:pPr>
              <w:pStyle w:val="Prrafodelista"/>
              <w:numPr>
                <w:ilvl w:val="0"/>
                <w:numId w:val="49"/>
              </w:numPr>
              <w:autoSpaceDE w:val="0"/>
              <w:autoSpaceDN w:val="0"/>
              <w:adjustRightInd w:val="0"/>
              <w:spacing w:line="276" w:lineRule="auto"/>
              <w:jc w:val="both"/>
              <w:rPr>
                <w:rFonts w:ascii="HelveticaNeueLT Std" w:hAnsi="HelveticaNeueLT Std"/>
                <w:sz w:val="20"/>
                <w:szCs w:val="22"/>
              </w:rPr>
            </w:pPr>
            <w:r w:rsidRPr="00AB2517">
              <w:rPr>
                <w:rFonts w:ascii="HelveticaNeueLT Std" w:hAnsi="HelveticaNeueLT Std"/>
                <w:sz w:val="20"/>
                <w:szCs w:val="22"/>
              </w:rPr>
              <w:t>Se da a conocer la recaudación federal participable de abril de 2023, las participaciones en ingresos federales por el mes de mayo de 2023, así como el procedimiento seguido en la determinación e integración de las mismas. Las cifras correspondientes al mes de mayo de 2023 no incluyen deducciones derivadas de compromisos financieros contraídos por las entidades federativas.</w:t>
            </w:r>
          </w:p>
        </w:tc>
      </w:tr>
      <w:tr w:rsidR="003437C9" w:rsidRPr="00CE62FF" w14:paraId="7423DFEE" w14:textId="77777777" w:rsidTr="004F1930">
        <w:tc>
          <w:tcPr>
            <w:tcW w:w="617" w:type="dxa"/>
            <w:tcBorders>
              <w:top w:val="single" w:sz="4" w:space="0" w:color="auto"/>
              <w:bottom w:val="single" w:sz="4" w:space="0" w:color="auto"/>
            </w:tcBorders>
            <w:shd w:val="clear" w:color="auto" w:fill="auto"/>
          </w:tcPr>
          <w:p w14:paraId="36E432AB" w14:textId="77777777" w:rsidR="003437C9" w:rsidRDefault="003437C9" w:rsidP="00652382">
            <w:pPr>
              <w:rPr>
                <w:rFonts w:ascii="HelveticaNeueLT Std" w:hAnsi="HelveticaNeueLT Std" w:cs="Arial"/>
                <w:b/>
                <w:bCs/>
                <w:sz w:val="20"/>
                <w:szCs w:val="20"/>
              </w:rPr>
            </w:pPr>
          </w:p>
        </w:tc>
        <w:tc>
          <w:tcPr>
            <w:tcW w:w="2127" w:type="dxa"/>
            <w:tcBorders>
              <w:top w:val="single" w:sz="4" w:space="0" w:color="auto"/>
              <w:bottom w:val="single" w:sz="4" w:space="0" w:color="auto"/>
            </w:tcBorders>
            <w:shd w:val="clear" w:color="auto" w:fill="auto"/>
          </w:tcPr>
          <w:p w14:paraId="6B78A887" w14:textId="77777777" w:rsidR="003437C9" w:rsidRDefault="003437C9" w:rsidP="004F1930">
            <w:pPr>
              <w:spacing w:line="276" w:lineRule="auto"/>
              <w:jc w:val="center"/>
              <w:rPr>
                <w:rFonts w:ascii="HelveticaNeueLT Std" w:hAnsi="HelveticaNeueLT Std" w:cs="Arial"/>
                <w:b/>
                <w:bCs/>
                <w:sz w:val="20"/>
                <w:szCs w:val="20"/>
              </w:rPr>
            </w:pPr>
          </w:p>
        </w:tc>
        <w:tc>
          <w:tcPr>
            <w:tcW w:w="2693" w:type="dxa"/>
            <w:tcBorders>
              <w:top w:val="single" w:sz="4" w:space="0" w:color="auto"/>
              <w:bottom w:val="single" w:sz="4" w:space="0" w:color="auto"/>
            </w:tcBorders>
            <w:shd w:val="clear" w:color="auto" w:fill="auto"/>
          </w:tcPr>
          <w:p w14:paraId="0EE63E27" w14:textId="77777777" w:rsidR="003437C9" w:rsidRPr="002511C0" w:rsidRDefault="003437C9" w:rsidP="002511C0">
            <w:pPr>
              <w:jc w:val="center"/>
              <w:rPr>
                <w:rFonts w:ascii="HelveticaNeueLT Std" w:eastAsia="Times New Roman" w:hAnsi="HelveticaNeueLT Std" w:cs="Arial"/>
                <w:b/>
                <w:bCs/>
                <w:sz w:val="20"/>
                <w:szCs w:val="20"/>
                <w:lang w:eastAsia="es-MX"/>
              </w:rPr>
            </w:pPr>
          </w:p>
        </w:tc>
        <w:tc>
          <w:tcPr>
            <w:tcW w:w="2977" w:type="dxa"/>
            <w:tcBorders>
              <w:top w:val="single" w:sz="4" w:space="0" w:color="auto"/>
              <w:bottom w:val="single" w:sz="4" w:space="0" w:color="auto"/>
            </w:tcBorders>
            <w:shd w:val="clear" w:color="auto" w:fill="auto"/>
          </w:tcPr>
          <w:p w14:paraId="31EB226E" w14:textId="77777777" w:rsidR="003437C9" w:rsidRDefault="003437C9" w:rsidP="002511C0">
            <w:pPr>
              <w:rPr>
                <w:rFonts w:ascii="Arial" w:hAnsi="Arial" w:cs="Arial"/>
                <w:color w:val="2F2F2F"/>
                <w:sz w:val="22"/>
                <w:szCs w:val="22"/>
              </w:rPr>
            </w:pPr>
          </w:p>
        </w:tc>
        <w:tc>
          <w:tcPr>
            <w:tcW w:w="5812" w:type="dxa"/>
            <w:tcBorders>
              <w:top w:val="single" w:sz="4" w:space="0" w:color="auto"/>
              <w:bottom w:val="single" w:sz="4" w:space="0" w:color="auto"/>
            </w:tcBorders>
            <w:shd w:val="clear" w:color="auto" w:fill="auto"/>
          </w:tcPr>
          <w:p w14:paraId="2F51E6DF" w14:textId="3C62C0C8" w:rsidR="003437C9" w:rsidRDefault="00AB2517" w:rsidP="00AB2517">
            <w:pPr>
              <w:pStyle w:val="Prrafodelista"/>
              <w:numPr>
                <w:ilvl w:val="0"/>
                <w:numId w:val="49"/>
              </w:num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S</w:t>
            </w:r>
            <w:r w:rsidRPr="00AB2517">
              <w:rPr>
                <w:rFonts w:ascii="HelveticaNeueLT Std" w:hAnsi="HelveticaNeueLT Std"/>
                <w:sz w:val="20"/>
                <w:szCs w:val="22"/>
              </w:rPr>
              <w:t>e da a conocer la recaudación federal participable, el cálculo de las participaciones en ingresos federales y la determinación de las diferencias por el ajuste definitivo de 2022.</w:t>
            </w:r>
          </w:p>
          <w:p w14:paraId="338A9113" w14:textId="77777777" w:rsidR="00AB2517" w:rsidRDefault="00AB2517" w:rsidP="00AB2517">
            <w:pPr>
              <w:pStyle w:val="Prrafodelista"/>
              <w:autoSpaceDE w:val="0"/>
              <w:autoSpaceDN w:val="0"/>
              <w:adjustRightInd w:val="0"/>
              <w:spacing w:line="276" w:lineRule="auto"/>
              <w:jc w:val="both"/>
              <w:rPr>
                <w:rFonts w:ascii="HelveticaNeueLT Std" w:hAnsi="HelveticaNeueLT Std"/>
                <w:sz w:val="20"/>
                <w:szCs w:val="22"/>
              </w:rPr>
            </w:pPr>
          </w:p>
          <w:p w14:paraId="24949BA5" w14:textId="65EC4644" w:rsidR="00AB2517" w:rsidRPr="00AB2517" w:rsidRDefault="00AB2517" w:rsidP="00AB2517">
            <w:pPr>
              <w:pStyle w:val="Prrafodelista"/>
              <w:numPr>
                <w:ilvl w:val="0"/>
                <w:numId w:val="49"/>
              </w:numPr>
              <w:autoSpaceDE w:val="0"/>
              <w:autoSpaceDN w:val="0"/>
              <w:adjustRightInd w:val="0"/>
              <w:spacing w:line="276" w:lineRule="auto"/>
              <w:jc w:val="both"/>
              <w:rPr>
                <w:rFonts w:ascii="HelveticaNeueLT Std" w:hAnsi="HelveticaNeueLT Std"/>
                <w:sz w:val="20"/>
                <w:szCs w:val="22"/>
              </w:rPr>
            </w:pPr>
            <w:r w:rsidRPr="00AB2517">
              <w:rPr>
                <w:rFonts w:ascii="HelveticaNeueLT Std" w:hAnsi="HelveticaNeueLT Std"/>
                <w:sz w:val="20"/>
                <w:szCs w:val="22"/>
              </w:rPr>
              <w:t>Las participaciones de los fondos y otros conceptos participables, así como los montos que finalmente reciba cada entidad federativa, pueden verse modificados por la variación de los ingresos efectivamente captados, por el cambio de los coeficientes y, en su caso, por las diferencias derivadas de los ajustes a los pagos provisionales y del ajuste definitivo correspondientes al ejercicio fiscal de 2023.</w:t>
            </w:r>
          </w:p>
        </w:tc>
      </w:tr>
    </w:tbl>
    <w:p w14:paraId="64A0A8FC" w14:textId="11A432FE" w:rsidR="00761C23" w:rsidRPr="00CE62FF" w:rsidRDefault="00761C23" w:rsidP="00FB5F5E">
      <w:pPr>
        <w:rPr>
          <w:rFonts w:ascii="HelveticaNeueLT Std" w:eastAsia="Times New Roman" w:hAnsi="HelveticaNeueLT Std" w:cs="Arial"/>
          <w:sz w:val="20"/>
          <w:szCs w:val="20"/>
          <w:lang w:eastAsia="es-MX"/>
        </w:rPr>
      </w:pPr>
    </w:p>
    <w:sectPr w:rsidR="00761C23" w:rsidRPr="00CE62FF" w:rsidSect="00DC256E">
      <w:headerReference w:type="default" r:id="rId12"/>
      <w:footerReference w:type="default" r:id="rId13"/>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31ACE" w14:textId="77777777" w:rsidR="00846F31" w:rsidRDefault="00846F31" w:rsidP="00FA6D75">
      <w:r>
        <w:separator/>
      </w:r>
    </w:p>
  </w:endnote>
  <w:endnote w:type="continuationSeparator" w:id="0">
    <w:p w14:paraId="22026A39" w14:textId="77777777" w:rsidR="00846F31" w:rsidRDefault="00846F31"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3939C6A0"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E10DC4">
              <w:rPr>
                <w:rFonts w:ascii="Arial" w:hAnsi="Arial" w:cs="Arial"/>
                <w:b/>
                <w:bCs/>
                <w:noProof/>
                <w:sz w:val="20"/>
                <w:szCs w:val="20"/>
              </w:rPr>
              <w:t>3</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E10DC4">
              <w:rPr>
                <w:rFonts w:ascii="Arial" w:hAnsi="Arial" w:cs="Arial"/>
                <w:b/>
                <w:bCs/>
                <w:noProof/>
                <w:sz w:val="20"/>
                <w:szCs w:val="20"/>
              </w:rPr>
              <w:t>3</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61AD" w14:textId="77777777" w:rsidR="00846F31" w:rsidRDefault="00846F31" w:rsidP="00FA6D75">
      <w:r>
        <w:separator/>
      </w:r>
    </w:p>
  </w:footnote>
  <w:footnote w:type="continuationSeparator" w:id="0">
    <w:p w14:paraId="6900B270" w14:textId="77777777" w:rsidR="00846F31" w:rsidRDefault="00846F31"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6B66" w14:textId="77777777" w:rsidR="00A66E1A" w:rsidRPr="000D4D13" w:rsidRDefault="00A66E1A" w:rsidP="00A66E1A">
    <w:pPr>
      <w:pStyle w:val="Ttulo"/>
      <w:tabs>
        <w:tab w:val="center" w:pos="5935"/>
        <w:tab w:val="left" w:pos="8830"/>
      </w:tabs>
      <w:spacing w:before="0" w:after="0" w:line="276" w:lineRule="auto"/>
      <w:rPr>
        <w:rFonts w:ascii="HelveticaNeueLT Std" w:hAnsi="HelveticaNeueLT Std"/>
        <w:sz w:val="20"/>
        <w:szCs w:val="20"/>
      </w:rPr>
    </w:pPr>
    <w:r>
      <w:rPr>
        <w:rFonts w:ascii="HelveticaNeueLT Std" w:hAnsi="HelveticaNeueLT Std"/>
        <w:sz w:val="20"/>
        <w:szCs w:val="20"/>
      </w:rPr>
      <w:t>S</w:t>
    </w:r>
    <w:r w:rsidRPr="000D4D13">
      <w:rPr>
        <w:rFonts w:ascii="HelveticaNeueLT Std" w:hAnsi="HelveticaNeueLT Std"/>
        <w:sz w:val="20"/>
        <w:szCs w:val="20"/>
      </w:rPr>
      <w:t>inopsis</w:t>
    </w:r>
  </w:p>
  <w:p w14:paraId="0444566D" w14:textId="77777777" w:rsidR="00A66E1A" w:rsidRPr="000D4D13" w:rsidRDefault="00A66E1A" w:rsidP="00A66E1A">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3BEF0BE0" w14:textId="052CC930" w:rsidR="00A66E1A" w:rsidRDefault="00A66E1A" w:rsidP="00A66E1A">
    <w:pPr>
      <w:jc w:val="center"/>
      <w:rPr>
        <w:rFonts w:ascii="HelveticaNeueLT Std" w:hAnsi="HelveticaNeueLT Std" w:cs="Arial"/>
        <w:b/>
        <w:bCs/>
        <w:sz w:val="20"/>
        <w:szCs w:val="20"/>
      </w:rPr>
    </w:pPr>
    <w:r>
      <w:rPr>
        <w:rFonts w:ascii="HelveticaNeueLT Std" w:hAnsi="HelveticaNeueLT Std" w:cs="Arial"/>
        <w:b/>
        <w:bCs/>
        <w:sz w:val="20"/>
        <w:szCs w:val="20"/>
      </w:rPr>
      <w:t xml:space="preserve">Período </w:t>
    </w:r>
    <w:r w:rsidR="00390406">
      <w:rPr>
        <w:rFonts w:ascii="HelveticaNeueLT Std" w:hAnsi="HelveticaNeueLT Std" w:cs="Arial"/>
        <w:b/>
        <w:bCs/>
        <w:sz w:val="20"/>
        <w:szCs w:val="20"/>
      </w:rPr>
      <w:t>junio</w:t>
    </w:r>
    <w:r>
      <w:rPr>
        <w:rFonts w:ascii="HelveticaNeueLT Std" w:hAnsi="HelveticaNeueLT Std" w:cs="Arial"/>
        <w:b/>
        <w:bCs/>
        <w:sz w:val="20"/>
        <w:szCs w:val="20"/>
      </w:rPr>
      <w:t xml:space="preserve"> </w:t>
    </w:r>
    <w:r w:rsidRPr="000D4D13">
      <w:rPr>
        <w:rFonts w:ascii="HelveticaNeueLT Std" w:hAnsi="HelveticaNeueLT Std" w:cs="Arial"/>
        <w:b/>
        <w:bCs/>
        <w:sz w:val="20"/>
        <w:szCs w:val="20"/>
      </w:rPr>
      <w:t>de 20</w:t>
    </w:r>
    <w:r>
      <w:rPr>
        <w:rFonts w:ascii="HelveticaNeueLT Std" w:hAnsi="HelveticaNeueLT Std" w:cs="Arial"/>
        <w:b/>
        <w:bCs/>
        <w:sz w:val="20"/>
        <w:szCs w:val="20"/>
      </w:rPr>
      <w:t>23</w:t>
    </w: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7.5pt;height:7.5pt;visibility:visible;mso-wrap-style:square" o:bullet="t">
        <v:imagedata r:id="rId1" o:title=""/>
      </v:shape>
    </w:pict>
  </w:numPicBullet>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C17B1"/>
    <w:multiLevelType w:val="hybridMultilevel"/>
    <w:tmpl w:val="26723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895D56"/>
    <w:multiLevelType w:val="hybridMultilevel"/>
    <w:tmpl w:val="00481042"/>
    <w:lvl w:ilvl="0" w:tplc="34586536">
      <w:start w:val="1"/>
      <w:numFmt w:val="bullet"/>
      <w:lvlText w:val=""/>
      <w:lvlPicBulletId w:val="0"/>
      <w:lvlJc w:val="left"/>
      <w:pPr>
        <w:tabs>
          <w:tab w:val="num" w:pos="720"/>
        </w:tabs>
        <w:ind w:left="720" w:hanging="360"/>
      </w:pPr>
      <w:rPr>
        <w:rFonts w:ascii="Symbol" w:hAnsi="Symbol" w:hint="default"/>
      </w:rPr>
    </w:lvl>
    <w:lvl w:ilvl="1" w:tplc="2E6EBA54" w:tentative="1">
      <w:start w:val="1"/>
      <w:numFmt w:val="bullet"/>
      <w:lvlText w:val=""/>
      <w:lvlJc w:val="left"/>
      <w:pPr>
        <w:tabs>
          <w:tab w:val="num" w:pos="1440"/>
        </w:tabs>
        <w:ind w:left="1440" w:hanging="360"/>
      </w:pPr>
      <w:rPr>
        <w:rFonts w:ascii="Symbol" w:hAnsi="Symbol" w:hint="default"/>
      </w:rPr>
    </w:lvl>
    <w:lvl w:ilvl="2" w:tplc="DED4E8E0" w:tentative="1">
      <w:start w:val="1"/>
      <w:numFmt w:val="bullet"/>
      <w:lvlText w:val=""/>
      <w:lvlJc w:val="left"/>
      <w:pPr>
        <w:tabs>
          <w:tab w:val="num" w:pos="2160"/>
        </w:tabs>
        <w:ind w:left="2160" w:hanging="360"/>
      </w:pPr>
      <w:rPr>
        <w:rFonts w:ascii="Symbol" w:hAnsi="Symbol" w:hint="default"/>
      </w:rPr>
    </w:lvl>
    <w:lvl w:ilvl="3" w:tplc="82B4D34E" w:tentative="1">
      <w:start w:val="1"/>
      <w:numFmt w:val="bullet"/>
      <w:lvlText w:val=""/>
      <w:lvlJc w:val="left"/>
      <w:pPr>
        <w:tabs>
          <w:tab w:val="num" w:pos="2880"/>
        </w:tabs>
        <w:ind w:left="2880" w:hanging="360"/>
      </w:pPr>
      <w:rPr>
        <w:rFonts w:ascii="Symbol" w:hAnsi="Symbol" w:hint="default"/>
      </w:rPr>
    </w:lvl>
    <w:lvl w:ilvl="4" w:tplc="DC4A8282" w:tentative="1">
      <w:start w:val="1"/>
      <w:numFmt w:val="bullet"/>
      <w:lvlText w:val=""/>
      <w:lvlJc w:val="left"/>
      <w:pPr>
        <w:tabs>
          <w:tab w:val="num" w:pos="3600"/>
        </w:tabs>
        <w:ind w:left="3600" w:hanging="360"/>
      </w:pPr>
      <w:rPr>
        <w:rFonts w:ascii="Symbol" w:hAnsi="Symbol" w:hint="default"/>
      </w:rPr>
    </w:lvl>
    <w:lvl w:ilvl="5" w:tplc="40B85D5A" w:tentative="1">
      <w:start w:val="1"/>
      <w:numFmt w:val="bullet"/>
      <w:lvlText w:val=""/>
      <w:lvlJc w:val="left"/>
      <w:pPr>
        <w:tabs>
          <w:tab w:val="num" w:pos="4320"/>
        </w:tabs>
        <w:ind w:left="4320" w:hanging="360"/>
      </w:pPr>
      <w:rPr>
        <w:rFonts w:ascii="Symbol" w:hAnsi="Symbol" w:hint="default"/>
      </w:rPr>
    </w:lvl>
    <w:lvl w:ilvl="6" w:tplc="BBDED49E" w:tentative="1">
      <w:start w:val="1"/>
      <w:numFmt w:val="bullet"/>
      <w:lvlText w:val=""/>
      <w:lvlJc w:val="left"/>
      <w:pPr>
        <w:tabs>
          <w:tab w:val="num" w:pos="5040"/>
        </w:tabs>
        <w:ind w:left="5040" w:hanging="360"/>
      </w:pPr>
      <w:rPr>
        <w:rFonts w:ascii="Symbol" w:hAnsi="Symbol" w:hint="default"/>
      </w:rPr>
    </w:lvl>
    <w:lvl w:ilvl="7" w:tplc="4CDACF38" w:tentative="1">
      <w:start w:val="1"/>
      <w:numFmt w:val="bullet"/>
      <w:lvlText w:val=""/>
      <w:lvlJc w:val="left"/>
      <w:pPr>
        <w:tabs>
          <w:tab w:val="num" w:pos="5760"/>
        </w:tabs>
        <w:ind w:left="5760" w:hanging="360"/>
      </w:pPr>
      <w:rPr>
        <w:rFonts w:ascii="Symbol" w:hAnsi="Symbol" w:hint="default"/>
      </w:rPr>
    </w:lvl>
    <w:lvl w:ilvl="8" w:tplc="282EAF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8D2755"/>
    <w:multiLevelType w:val="hybridMultilevel"/>
    <w:tmpl w:val="31F26F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563C19"/>
    <w:multiLevelType w:val="hybridMultilevel"/>
    <w:tmpl w:val="F4A60CA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720E74"/>
    <w:multiLevelType w:val="hybridMultilevel"/>
    <w:tmpl w:val="32929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CD7BD2"/>
    <w:multiLevelType w:val="hybridMultilevel"/>
    <w:tmpl w:val="14A43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43229"/>
    <w:multiLevelType w:val="hybridMultilevel"/>
    <w:tmpl w:val="F9C6A7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C91510"/>
    <w:multiLevelType w:val="hybridMultilevel"/>
    <w:tmpl w:val="98DA5E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993655"/>
    <w:multiLevelType w:val="hybridMultilevel"/>
    <w:tmpl w:val="5C56B2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4E31AD"/>
    <w:multiLevelType w:val="hybridMultilevel"/>
    <w:tmpl w:val="A7C493A2"/>
    <w:lvl w:ilvl="0" w:tplc="E23CBAD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9056BE"/>
    <w:multiLevelType w:val="hybridMultilevel"/>
    <w:tmpl w:val="B41076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345D4C"/>
    <w:multiLevelType w:val="hybridMultilevel"/>
    <w:tmpl w:val="020CF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EF436A"/>
    <w:multiLevelType w:val="hybridMultilevel"/>
    <w:tmpl w:val="1F229F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2065BA"/>
    <w:multiLevelType w:val="hybridMultilevel"/>
    <w:tmpl w:val="D9368A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3D4F54"/>
    <w:multiLevelType w:val="hybridMultilevel"/>
    <w:tmpl w:val="4134E6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436A9F"/>
    <w:multiLevelType w:val="hybridMultilevel"/>
    <w:tmpl w:val="4E3477CC"/>
    <w:lvl w:ilvl="0" w:tplc="83AA8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2E2777"/>
    <w:multiLevelType w:val="hybridMultilevel"/>
    <w:tmpl w:val="8E9A25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D81A2F"/>
    <w:multiLevelType w:val="hybridMultilevel"/>
    <w:tmpl w:val="485677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F0536B"/>
    <w:multiLevelType w:val="hybridMultilevel"/>
    <w:tmpl w:val="799273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DA7BDF"/>
    <w:multiLevelType w:val="hybridMultilevel"/>
    <w:tmpl w:val="FC1A3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8" w15:restartNumberingAfterBreak="0">
    <w:nsid w:val="67573FE5"/>
    <w:multiLevelType w:val="hybridMultilevel"/>
    <w:tmpl w:val="0FEE9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E1719"/>
    <w:multiLevelType w:val="hybridMultilevel"/>
    <w:tmpl w:val="92E62D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29251E"/>
    <w:multiLevelType w:val="hybridMultilevel"/>
    <w:tmpl w:val="6A1A056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82613D"/>
    <w:multiLevelType w:val="hybridMultilevel"/>
    <w:tmpl w:val="8BE8E2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4A381E"/>
    <w:multiLevelType w:val="hybridMultilevel"/>
    <w:tmpl w:val="2550CD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46"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1079A3"/>
    <w:multiLevelType w:val="hybridMultilevel"/>
    <w:tmpl w:val="E24C44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8"/>
  </w:num>
  <w:num w:numId="4">
    <w:abstractNumId w:val="36"/>
  </w:num>
  <w:num w:numId="5">
    <w:abstractNumId w:val="37"/>
  </w:num>
  <w:num w:numId="6">
    <w:abstractNumId w:val="45"/>
  </w:num>
  <w:num w:numId="7">
    <w:abstractNumId w:val="24"/>
  </w:num>
  <w:num w:numId="8">
    <w:abstractNumId w:val="15"/>
  </w:num>
  <w:num w:numId="9">
    <w:abstractNumId w:val="42"/>
  </w:num>
  <w:num w:numId="10">
    <w:abstractNumId w:val="33"/>
  </w:num>
  <w:num w:numId="11">
    <w:abstractNumId w:val="27"/>
  </w:num>
  <w:num w:numId="12">
    <w:abstractNumId w:val="3"/>
  </w:num>
  <w:num w:numId="13">
    <w:abstractNumId w:val="8"/>
  </w:num>
  <w:num w:numId="14">
    <w:abstractNumId w:val="11"/>
  </w:num>
  <w:num w:numId="15">
    <w:abstractNumId w:val="20"/>
  </w:num>
  <w:num w:numId="16">
    <w:abstractNumId w:val="4"/>
  </w:num>
  <w:num w:numId="17">
    <w:abstractNumId w:val="1"/>
  </w:num>
  <w:num w:numId="18">
    <w:abstractNumId w:val="0"/>
  </w:num>
  <w:num w:numId="19">
    <w:abstractNumId w:val="9"/>
  </w:num>
  <w:num w:numId="20">
    <w:abstractNumId w:val="48"/>
  </w:num>
  <w:num w:numId="21">
    <w:abstractNumId w:val="46"/>
  </w:num>
  <w:num w:numId="22">
    <w:abstractNumId w:val="16"/>
  </w:num>
  <w:num w:numId="23">
    <w:abstractNumId w:val="31"/>
  </w:num>
  <w:num w:numId="24">
    <w:abstractNumId w:val="19"/>
  </w:num>
  <w:num w:numId="25">
    <w:abstractNumId w:val="6"/>
  </w:num>
  <w:num w:numId="26">
    <w:abstractNumId w:val="38"/>
  </w:num>
  <w:num w:numId="27">
    <w:abstractNumId w:val="13"/>
  </w:num>
  <w:num w:numId="28">
    <w:abstractNumId w:val="12"/>
  </w:num>
  <w:num w:numId="29">
    <w:abstractNumId w:val="26"/>
  </w:num>
  <w:num w:numId="30">
    <w:abstractNumId w:val="35"/>
  </w:num>
  <w:num w:numId="31">
    <w:abstractNumId w:val="34"/>
  </w:num>
  <w:num w:numId="32">
    <w:abstractNumId w:val="39"/>
  </w:num>
  <w:num w:numId="33">
    <w:abstractNumId w:val="23"/>
  </w:num>
  <w:num w:numId="34">
    <w:abstractNumId w:val="41"/>
  </w:num>
  <w:num w:numId="35">
    <w:abstractNumId w:val="47"/>
  </w:num>
  <w:num w:numId="36">
    <w:abstractNumId w:val="22"/>
  </w:num>
  <w:num w:numId="37">
    <w:abstractNumId w:val="44"/>
  </w:num>
  <w:num w:numId="38">
    <w:abstractNumId w:val="5"/>
  </w:num>
  <w:num w:numId="39">
    <w:abstractNumId w:val="7"/>
  </w:num>
  <w:num w:numId="40">
    <w:abstractNumId w:val="2"/>
  </w:num>
  <w:num w:numId="41">
    <w:abstractNumId w:val="17"/>
  </w:num>
  <w:num w:numId="42">
    <w:abstractNumId w:val="14"/>
  </w:num>
  <w:num w:numId="43">
    <w:abstractNumId w:val="29"/>
  </w:num>
  <w:num w:numId="44">
    <w:abstractNumId w:val="28"/>
  </w:num>
  <w:num w:numId="45">
    <w:abstractNumId w:val="10"/>
  </w:num>
  <w:num w:numId="46">
    <w:abstractNumId w:val="30"/>
  </w:num>
  <w:num w:numId="47">
    <w:abstractNumId w:val="21"/>
  </w:num>
  <w:num w:numId="48">
    <w:abstractNumId w:val="32"/>
  </w:num>
  <w:num w:numId="49">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54C"/>
    <w:rsid w:val="000039A8"/>
    <w:rsid w:val="00003E4B"/>
    <w:rsid w:val="00003E56"/>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450B"/>
    <w:rsid w:val="000366DB"/>
    <w:rsid w:val="00036859"/>
    <w:rsid w:val="00037307"/>
    <w:rsid w:val="000402F7"/>
    <w:rsid w:val="0004031F"/>
    <w:rsid w:val="0004131B"/>
    <w:rsid w:val="00041A7A"/>
    <w:rsid w:val="00042011"/>
    <w:rsid w:val="0004288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0D0"/>
    <w:rsid w:val="00050AF4"/>
    <w:rsid w:val="00050CBE"/>
    <w:rsid w:val="00050F88"/>
    <w:rsid w:val="00051E83"/>
    <w:rsid w:val="00053EEE"/>
    <w:rsid w:val="00054FA1"/>
    <w:rsid w:val="00055F56"/>
    <w:rsid w:val="000565AD"/>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0A"/>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14F"/>
    <w:rsid w:val="000C06D5"/>
    <w:rsid w:val="000C2FA9"/>
    <w:rsid w:val="000C404A"/>
    <w:rsid w:val="000C47D5"/>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5F2"/>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3CE1"/>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2907"/>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A7A"/>
    <w:rsid w:val="00187F42"/>
    <w:rsid w:val="001906DC"/>
    <w:rsid w:val="001907C8"/>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2F00"/>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2D6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0C4"/>
    <w:rsid w:val="001F1EDA"/>
    <w:rsid w:val="001F21CD"/>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07BFE"/>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4B1"/>
    <w:rsid w:val="00241AB8"/>
    <w:rsid w:val="00241F5A"/>
    <w:rsid w:val="002421D1"/>
    <w:rsid w:val="00242DA9"/>
    <w:rsid w:val="00242F76"/>
    <w:rsid w:val="0024355F"/>
    <w:rsid w:val="002441B0"/>
    <w:rsid w:val="00244970"/>
    <w:rsid w:val="00244C69"/>
    <w:rsid w:val="00245351"/>
    <w:rsid w:val="0024547D"/>
    <w:rsid w:val="00245559"/>
    <w:rsid w:val="00245634"/>
    <w:rsid w:val="00246D4C"/>
    <w:rsid w:val="00246F1A"/>
    <w:rsid w:val="002471D5"/>
    <w:rsid w:val="002472A6"/>
    <w:rsid w:val="00250471"/>
    <w:rsid w:val="002511C0"/>
    <w:rsid w:val="002513BA"/>
    <w:rsid w:val="00251D8D"/>
    <w:rsid w:val="00251FC3"/>
    <w:rsid w:val="002523AC"/>
    <w:rsid w:val="0025269A"/>
    <w:rsid w:val="0025313E"/>
    <w:rsid w:val="002536EF"/>
    <w:rsid w:val="0025397C"/>
    <w:rsid w:val="002542E4"/>
    <w:rsid w:val="00254D85"/>
    <w:rsid w:val="00254ECF"/>
    <w:rsid w:val="002559B3"/>
    <w:rsid w:val="00255B2C"/>
    <w:rsid w:val="00255E9D"/>
    <w:rsid w:val="00257C87"/>
    <w:rsid w:val="00257F79"/>
    <w:rsid w:val="002605D4"/>
    <w:rsid w:val="002608FD"/>
    <w:rsid w:val="00261328"/>
    <w:rsid w:val="002617D9"/>
    <w:rsid w:val="00262CF9"/>
    <w:rsid w:val="00263B11"/>
    <w:rsid w:val="00265204"/>
    <w:rsid w:val="0026655E"/>
    <w:rsid w:val="00267B25"/>
    <w:rsid w:val="00267FF0"/>
    <w:rsid w:val="002737D8"/>
    <w:rsid w:val="0027499C"/>
    <w:rsid w:val="00274A93"/>
    <w:rsid w:val="002756BF"/>
    <w:rsid w:val="002757C8"/>
    <w:rsid w:val="002759CB"/>
    <w:rsid w:val="00276253"/>
    <w:rsid w:val="00280009"/>
    <w:rsid w:val="0028018C"/>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3EE9"/>
    <w:rsid w:val="0029479B"/>
    <w:rsid w:val="00294C33"/>
    <w:rsid w:val="00296BC3"/>
    <w:rsid w:val="002A1084"/>
    <w:rsid w:val="002A1A24"/>
    <w:rsid w:val="002A2688"/>
    <w:rsid w:val="002A2B3D"/>
    <w:rsid w:val="002A2E46"/>
    <w:rsid w:val="002A3627"/>
    <w:rsid w:val="002A3C43"/>
    <w:rsid w:val="002A3D00"/>
    <w:rsid w:val="002A3FF4"/>
    <w:rsid w:val="002A42E5"/>
    <w:rsid w:val="002A5EEA"/>
    <w:rsid w:val="002A5FE0"/>
    <w:rsid w:val="002A6630"/>
    <w:rsid w:val="002A6943"/>
    <w:rsid w:val="002A7BD0"/>
    <w:rsid w:val="002B0211"/>
    <w:rsid w:val="002B0780"/>
    <w:rsid w:val="002B1604"/>
    <w:rsid w:val="002B3836"/>
    <w:rsid w:val="002B3A46"/>
    <w:rsid w:val="002B4FF6"/>
    <w:rsid w:val="002B6488"/>
    <w:rsid w:val="002B69E1"/>
    <w:rsid w:val="002B6A84"/>
    <w:rsid w:val="002B7257"/>
    <w:rsid w:val="002B744D"/>
    <w:rsid w:val="002C032B"/>
    <w:rsid w:val="002C0401"/>
    <w:rsid w:val="002C096E"/>
    <w:rsid w:val="002C12DD"/>
    <w:rsid w:val="002C1CD4"/>
    <w:rsid w:val="002C2BB5"/>
    <w:rsid w:val="002C581D"/>
    <w:rsid w:val="002C61E4"/>
    <w:rsid w:val="002C70AA"/>
    <w:rsid w:val="002C7D69"/>
    <w:rsid w:val="002D06C9"/>
    <w:rsid w:val="002D1469"/>
    <w:rsid w:val="002D2897"/>
    <w:rsid w:val="002D429B"/>
    <w:rsid w:val="002D48FC"/>
    <w:rsid w:val="002D521B"/>
    <w:rsid w:val="002D536D"/>
    <w:rsid w:val="002D5E73"/>
    <w:rsid w:val="002D62EC"/>
    <w:rsid w:val="002D6389"/>
    <w:rsid w:val="002D67AA"/>
    <w:rsid w:val="002D6960"/>
    <w:rsid w:val="002D69F2"/>
    <w:rsid w:val="002D7C02"/>
    <w:rsid w:val="002D7E14"/>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518"/>
    <w:rsid w:val="00302D09"/>
    <w:rsid w:val="0030311F"/>
    <w:rsid w:val="0030402F"/>
    <w:rsid w:val="00305C56"/>
    <w:rsid w:val="00306645"/>
    <w:rsid w:val="00310E50"/>
    <w:rsid w:val="00312469"/>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37DFC"/>
    <w:rsid w:val="00340930"/>
    <w:rsid w:val="00340D83"/>
    <w:rsid w:val="0034131E"/>
    <w:rsid w:val="00341A9B"/>
    <w:rsid w:val="00342082"/>
    <w:rsid w:val="003425BD"/>
    <w:rsid w:val="00342911"/>
    <w:rsid w:val="00343197"/>
    <w:rsid w:val="003437C9"/>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5731"/>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A8D"/>
    <w:rsid w:val="0038196F"/>
    <w:rsid w:val="00381EC1"/>
    <w:rsid w:val="0038385E"/>
    <w:rsid w:val="003839F1"/>
    <w:rsid w:val="00383FB5"/>
    <w:rsid w:val="00390316"/>
    <w:rsid w:val="0039040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948"/>
    <w:rsid w:val="003C0D06"/>
    <w:rsid w:val="003C1060"/>
    <w:rsid w:val="003C1A0F"/>
    <w:rsid w:val="003C268F"/>
    <w:rsid w:val="003C2927"/>
    <w:rsid w:val="003C3532"/>
    <w:rsid w:val="003C3695"/>
    <w:rsid w:val="003C3915"/>
    <w:rsid w:val="003C446A"/>
    <w:rsid w:val="003C4704"/>
    <w:rsid w:val="003C4B93"/>
    <w:rsid w:val="003C5087"/>
    <w:rsid w:val="003C518D"/>
    <w:rsid w:val="003C6E0E"/>
    <w:rsid w:val="003C742D"/>
    <w:rsid w:val="003C7840"/>
    <w:rsid w:val="003C797E"/>
    <w:rsid w:val="003D0E3B"/>
    <w:rsid w:val="003D11C8"/>
    <w:rsid w:val="003D1284"/>
    <w:rsid w:val="003D2318"/>
    <w:rsid w:val="003D27C2"/>
    <w:rsid w:val="003D36B9"/>
    <w:rsid w:val="003D3920"/>
    <w:rsid w:val="003D394F"/>
    <w:rsid w:val="003D3A01"/>
    <w:rsid w:val="003D3BDE"/>
    <w:rsid w:val="003D45E6"/>
    <w:rsid w:val="003D4E90"/>
    <w:rsid w:val="003E037E"/>
    <w:rsid w:val="003E03BE"/>
    <w:rsid w:val="003E20D1"/>
    <w:rsid w:val="003E26BE"/>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6F41"/>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074F3"/>
    <w:rsid w:val="00410EC3"/>
    <w:rsid w:val="00410FF9"/>
    <w:rsid w:val="0041110B"/>
    <w:rsid w:val="004121CB"/>
    <w:rsid w:val="00412715"/>
    <w:rsid w:val="00414A6F"/>
    <w:rsid w:val="0041512B"/>
    <w:rsid w:val="004161E3"/>
    <w:rsid w:val="00416824"/>
    <w:rsid w:val="00416E8B"/>
    <w:rsid w:val="0041765E"/>
    <w:rsid w:val="00417E69"/>
    <w:rsid w:val="00420237"/>
    <w:rsid w:val="0042080C"/>
    <w:rsid w:val="00420BE2"/>
    <w:rsid w:val="004215CC"/>
    <w:rsid w:val="00421727"/>
    <w:rsid w:val="004225CD"/>
    <w:rsid w:val="00422ABA"/>
    <w:rsid w:val="00423499"/>
    <w:rsid w:val="004238AD"/>
    <w:rsid w:val="00424205"/>
    <w:rsid w:val="00424EDD"/>
    <w:rsid w:val="00426134"/>
    <w:rsid w:val="00426164"/>
    <w:rsid w:val="00426B32"/>
    <w:rsid w:val="00426E19"/>
    <w:rsid w:val="00427C41"/>
    <w:rsid w:val="004302D6"/>
    <w:rsid w:val="004305B0"/>
    <w:rsid w:val="00430A9C"/>
    <w:rsid w:val="00430B17"/>
    <w:rsid w:val="00430CA0"/>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9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6056"/>
    <w:rsid w:val="004665EF"/>
    <w:rsid w:val="004667C6"/>
    <w:rsid w:val="00467289"/>
    <w:rsid w:val="00470EA7"/>
    <w:rsid w:val="00471113"/>
    <w:rsid w:val="00471656"/>
    <w:rsid w:val="00474904"/>
    <w:rsid w:val="00474F56"/>
    <w:rsid w:val="0047657C"/>
    <w:rsid w:val="004770E9"/>
    <w:rsid w:val="00477344"/>
    <w:rsid w:val="00477546"/>
    <w:rsid w:val="0047799F"/>
    <w:rsid w:val="00477E7E"/>
    <w:rsid w:val="0048277B"/>
    <w:rsid w:val="004829F7"/>
    <w:rsid w:val="00485EAB"/>
    <w:rsid w:val="00487B9B"/>
    <w:rsid w:val="00490421"/>
    <w:rsid w:val="00491678"/>
    <w:rsid w:val="00491F63"/>
    <w:rsid w:val="00491FFA"/>
    <w:rsid w:val="004921C7"/>
    <w:rsid w:val="00492278"/>
    <w:rsid w:val="0049229D"/>
    <w:rsid w:val="00492A20"/>
    <w:rsid w:val="0049306A"/>
    <w:rsid w:val="00495A4C"/>
    <w:rsid w:val="00496C09"/>
    <w:rsid w:val="0049776B"/>
    <w:rsid w:val="004A0648"/>
    <w:rsid w:val="004A1CC4"/>
    <w:rsid w:val="004A1FBF"/>
    <w:rsid w:val="004A20FC"/>
    <w:rsid w:val="004A216E"/>
    <w:rsid w:val="004A2EC1"/>
    <w:rsid w:val="004A4A85"/>
    <w:rsid w:val="004A4A9E"/>
    <w:rsid w:val="004A4B54"/>
    <w:rsid w:val="004A57F6"/>
    <w:rsid w:val="004A6A9D"/>
    <w:rsid w:val="004A6D9A"/>
    <w:rsid w:val="004A71EC"/>
    <w:rsid w:val="004A788D"/>
    <w:rsid w:val="004B131F"/>
    <w:rsid w:val="004B1558"/>
    <w:rsid w:val="004B19A8"/>
    <w:rsid w:val="004B258F"/>
    <w:rsid w:val="004B2749"/>
    <w:rsid w:val="004B3155"/>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2FB"/>
    <w:rsid w:val="004C63CA"/>
    <w:rsid w:val="004C6940"/>
    <w:rsid w:val="004C6A32"/>
    <w:rsid w:val="004D0AFB"/>
    <w:rsid w:val="004D1404"/>
    <w:rsid w:val="004D1662"/>
    <w:rsid w:val="004D16FF"/>
    <w:rsid w:val="004D23B8"/>
    <w:rsid w:val="004D23C5"/>
    <w:rsid w:val="004D26B9"/>
    <w:rsid w:val="004D38A7"/>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930"/>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15644"/>
    <w:rsid w:val="00517680"/>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3FE"/>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13FC"/>
    <w:rsid w:val="00541946"/>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1A54"/>
    <w:rsid w:val="00582B37"/>
    <w:rsid w:val="00582F68"/>
    <w:rsid w:val="005837DC"/>
    <w:rsid w:val="00583B93"/>
    <w:rsid w:val="00584C2B"/>
    <w:rsid w:val="00587554"/>
    <w:rsid w:val="005878AA"/>
    <w:rsid w:val="00590F1D"/>
    <w:rsid w:val="005927D9"/>
    <w:rsid w:val="00592A46"/>
    <w:rsid w:val="005936AB"/>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1E2"/>
    <w:rsid w:val="005B599A"/>
    <w:rsid w:val="005B5DB6"/>
    <w:rsid w:val="005B649D"/>
    <w:rsid w:val="005B655B"/>
    <w:rsid w:val="005B6580"/>
    <w:rsid w:val="005B65A0"/>
    <w:rsid w:val="005B6D5E"/>
    <w:rsid w:val="005C1955"/>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018"/>
    <w:rsid w:val="0061344D"/>
    <w:rsid w:val="00613B16"/>
    <w:rsid w:val="00614391"/>
    <w:rsid w:val="006145A7"/>
    <w:rsid w:val="0061463F"/>
    <w:rsid w:val="006149D2"/>
    <w:rsid w:val="00615FA2"/>
    <w:rsid w:val="0061655A"/>
    <w:rsid w:val="00616692"/>
    <w:rsid w:val="00616748"/>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442F"/>
    <w:rsid w:val="0064533C"/>
    <w:rsid w:val="0064695F"/>
    <w:rsid w:val="00646D27"/>
    <w:rsid w:val="006505BB"/>
    <w:rsid w:val="00650A4D"/>
    <w:rsid w:val="00651489"/>
    <w:rsid w:val="00652135"/>
    <w:rsid w:val="00652382"/>
    <w:rsid w:val="0065241D"/>
    <w:rsid w:val="00652F43"/>
    <w:rsid w:val="0065359F"/>
    <w:rsid w:val="0065384B"/>
    <w:rsid w:val="006544EE"/>
    <w:rsid w:val="00656D50"/>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4EBB"/>
    <w:rsid w:val="00675E35"/>
    <w:rsid w:val="0067612D"/>
    <w:rsid w:val="006774DB"/>
    <w:rsid w:val="00677A40"/>
    <w:rsid w:val="00681B8F"/>
    <w:rsid w:val="0068227F"/>
    <w:rsid w:val="006823BC"/>
    <w:rsid w:val="0068293F"/>
    <w:rsid w:val="00683FAB"/>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C7F"/>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ADA"/>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1989"/>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51"/>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35DE"/>
    <w:rsid w:val="00724754"/>
    <w:rsid w:val="00724AE8"/>
    <w:rsid w:val="00724DF0"/>
    <w:rsid w:val="00724E0D"/>
    <w:rsid w:val="007253B2"/>
    <w:rsid w:val="007253EA"/>
    <w:rsid w:val="007262C0"/>
    <w:rsid w:val="00727067"/>
    <w:rsid w:val="0072756A"/>
    <w:rsid w:val="0073107C"/>
    <w:rsid w:val="007313EE"/>
    <w:rsid w:val="00731594"/>
    <w:rsid w:val="0073162C"/>
    <w:rsid w:val="00731642"/>
    <w:rsid w:val="00731969"/>
    <w:rsid w:val="00731BDE"/>
    <w:rsid w:val="007325E0"/>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6404"/>
    <w:rsid w:val="00756E04"/>
    <w:rsid w:val="00757B43"/>
    <w:rsid w:val="0076190A"/>
    <w:rsid w:val="00761C0F"/>
    <w:rsid w:val="00761C23"/>
    <w:rsid w:val="00764B65"/>
    <w:rsid w:val="00764E48"/>
    <w:rsid w:val="00765102"/>
    <w:rsid w:val="00765800"/>
    <w:rsid w:val="0076655A"/>
    <w:rsid w:val="00766BD6"/>
    <w:rsid w:val="00766F0F"/>
    <w:rsid w:val="00766F1B"/>
    <w:rsid w:val="00770B37"/>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2E82"/>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04C"/>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5FC8"/>
    <w:rsid w:val="00836270"/>
    <w:rsid w:val="008362C0"/>
    <w:rsid w:val="00836A0A"/>
    <w:rsid w:val="00837A73"/>
    <w:rsid w:val="00837B5C"/>
    <w:rsid w:val="00840798"/>
    <w:rsid w:val="00841347"/>
    <w:rsid w:val="008413C2"/>
    <w:rsid w:val="008422B0"/>
    <w:rsid w:val="008426E7"/>
    <w:rsid w:val="00843A72"/>
    <w:rsid w:val="00843D08"/>
    <w:rsid w:val="00843F49"/>
    <w:rsid w:val="008447BF"/>
    <w:rsid w:val="0084562A"/>
    <w:rsid w:val="00845F03"/>
    <w:rsid w:val="008467A2"/>
    <w:rsid w:val="00846F31"/>
    <w:rsid w:val="00846F61"/>
    <w:rsid w:val="008503E9"/>
    <w:rsid w:val="0085050D"/>
    <w:rsid w:val="00850D3B"/>
    <w:rsid w:val="0085106B"/>
    <w:rsid w:val="008521FF"/>
    <w:rsid w:val="0085304F"/>
    <w:rsid w:val="008533E4"/>
    <w:rsid w:val="008538C1"/>
    <w:rsid w:val="008538E7"/>
    <w:rsid w:val="00853A8B"/>
    <w:rsid w:val="00853B73"/>
    <w:rsid w:val="008560C2"/>
    <w:rsid w:val="00860756"/>
    <w:rsid w:val="00860BD4"/>
    <w:rsid w:val="00860D42"/>
    <w:rsid w:val="008618FF"/>
    <w:rsid w:val="0086254A"/>
    <w:rsid w:val="00862597"/>
    <w:rsid w:val="00862D80"/>
    <w:rsid w:val="0086403B"/>
    <w:rsid w:val="00864091"/>
    <w:rsid w:val="008648E7"/>
    <w:rsid w:val="00864A55"/>
    <w:rsid w:val="0086524E"/>
    <w:rsid w:val="00865477"/>
    <w:rsid w:val="00865B51"/>
    <w:rsid w:val="00865FA9"/>
    <w:rsid w:val="008700D1"/>
    <w:rsid w:val="00870D64"/>
    <w:rsid w:val="00870F79"/>
    <w:rsid w:val="00871D2E"/>
    <w:rsid w:val="0087216E"/>
    <w:rsid w:val="00872FA3"/>
    <w:rsid w:val="008731FF"/>
    <w:rsid w:val="008732B5"/>
    <w:rsid w:val="008739AC"/>
    <w:rsid w:val="00873A19"/>
    <w:rsid w:val="0087423C"/>
    <w:rsid w:val="0087478F"/>
    <w:rsid w:val="00874CBB"/>
    <w:rsid w:val="008756DF"/>
    <w:rsid w:val="00875759"/>
    <w:rsid w:val="0087644D"/>
    <w:rsid w:val="00876927"/>
    <w:rsid w:val="0087730C"/>
    <w:rsid w:val="00877A43"/>
    <w:rsid w:val="00877D6B"/>
    <w:rsid w:val="00880DB3"/>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610"/>
    <w:rsid w:val="00896BF2"/>
    <w:rsid w:val="00896CAF"/>
    <w:rsid w:val="008977B1"/>
    <w:rsid w:val="008979ED"/>
    <w:rsid w:val="00897E5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830"/>
    <w:rsid w:val="008B2B06"/>
    <w:rsid w:val="008B3659"/>
    <w:rsid w:val="008B3CF1"/>
    <w:rsid w:val="008B4209"/>
    <w:rsid w:val="008B49E1"/>
    <w:rsid w:val="008B55E4"/>
    <w:rsid w:val="008B6A1C"/>
    <w:rsid w:val="008B6E27"/>
    <w:rsid w:val="008C0BD6"/>
    <w:rsid w:val="008C0E3C"/>
    <w:rsid w:val="008C13B0"/>
    <w:rsid w:val="008C1549"/>
    <w:rsid w:val="008C2CBE"/>
    <w:rsid w:val="008C499D"/>
    <w:rsid w:val="008C5F0E"/>
    <w:rsid w:val="008C6265"/>
    <w:rsid w:val="008C65C0"/>
    <w:rsid w:val="008C76C1"/>
    <w:rsid w:val="008D081F"/>
    <w:rsid w:val="008D26D6"/>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5378"/>
    <w:rsid w:val="008E6DBC"/>
    <w:rsid w:val="008E78D4"/>
    <w:rsid w:val="008F0295"/>
    <w:rsid w:val="008F02ED"/>
    <w:rsid w:val="008F0B93"/>
    <w:rsid w:val="008F1750"/>
    <w:rsid w:val="008F1E77"/>
    <w:rsid w:val="008F2218"/>
    <w:rsid w:val="008F2417"/>
    <w:rsid w:val="008F2462"/>
    <w:rsid w:val="008F3E00"/>
    <w:rsid w:val="008F5C01"/>
    <w:rsid w:val="008F5E77"/>
    <w:rsid w:val="008F6417"/>
    <w:rsid w:val="008F668F"/>
    <w:rsid w:val="008F6F7B"/>
    <w:rsid w:val="008F6F91"/>
    <w:rsid w:val="008F7353"/>
    <w:rsid w:val="008F7B94"/>
    <w:rsid w:val="00900016"/>
    <w:rsid w:val="00901D6B"/>
    <w:rsid w:val="00902DE2"/>
    <w:rsid w:val="00903354"/>
    <w:rsid w:val="00904812"/>
    <w:rsid w:val="009057D5"/>
    <w:rsid w:val="0090629D"/>
    <w:rsid w:val="0090635D"/>
    <w:rsid w:val="00906425"/>
    <w:rsid w:val="00906D68"/>
    <w:rsid w:val="00906DCF"/>
    <w:rsid w:val="00907C78"/>
    <w:rsid w:val="00910733"/>
    <w:rsid w:val="0091101B"/>
    <w:rsid w:val="00911A93"/>
    <w:rsid w:val="00912BD4"/>
    <w:rsid w:val="00913153"/>
    <w:rsid w:val="00913925"/>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27163"/>
    <w:rsid w:val="00927250"/>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56797"/>
    <w:rsid w:val="009634C1"/>
    <w:rsid w:val="00963690"/>
    <w:rsid w:val="0096473A"/>
    <w:rsid w:val="009647A9"/>
    <w:rsid w:val="00964E3F"/>
    <w:rsid w:val="0096569A"/>
    <w:rsid w:val="00965E8E"/>
    <w:rsid w:val="009661CA"/>
    <w:rsid w:val="009667C2"/>
    <w:rsid w:val="00967DC5"/>
    <w:rsid w:val="00971906"/>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24DB"/>
    <w:rsid w:val="009836F7"/>
    <w:rsid w:val="00983865"/>
    <w:rsid w:val="00983BFD"/>
    <w:rsid w:val="0098471A"/>
    <w:rsid w:val="00984CAE"/>
    <w:rsid w:val="00985A37"/>
    <w:rsid w:val="0098621F"/>
    <w:rsid w:val="00986488"/>
    <w:rsid w:val="00986769"/>
    <w:rsid w:val="00986812"/>
    <w:rsid w:val="009869F4"/>
    <w:rsid w:val="00987020"/>
    <w:rsid w:val="0098706B"/>
    <w:rsid w:val="009875FA"/>
    <w:rsid w:val="0099137D"/>
    <w:rsid w:val="0099171B"/>
    <w:rsid w:val="0099172D"/>
    <w:rsid w:val="00991B5C"/>
    <w:rsid w:val="00991E89"/>
    <w:rsid w:val="00992137"/>
    <w:rsid w:val="00992653"/>
    <w:rsid w:val="0099271E"/>
    <w:rsid w:val="00992775"/>
    <w:rsid w:val="00992CB3"/>
    <w:rsid w:val="009941EF"/>
    <w:rsid w:val="0099619D"/>
    <w:rsid w:val="00996478"/>
    <w:rsid w:val="0099728A"/>
    <w:rsid w:val="00997459"/>
    <w:rsid w:val="009A19B4"/>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23C"/>
    <w:rsid w:val="009C5870"/>
    <w:rsid w:val="009C5F2E"/>
    <w:rsid w:val="009C6E0E"/>
    <w:rsid w:val="009C7500"/>
    <w:rsid w:val="009C7E01"/>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2757"/>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37E4"/>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3B2"/>
    <w:rsid w:val="00A4460C"/>
    <w:rsid w:val="00A45D66"/>
    <w:rsid w:val="00A46150"/>
    <w:rsid w:val="00A4631C"/>
    <w:rsid w:val="00A468E9"/>
    <w:rsid w:val="00A4743D"/>
    <w:rsid w:val="00A47D48"/>
    <w:rsid w:val="00A5274B"/>
    <w:rsid w:val="00A530DE"/>
    <w:rsid w:val="00A5313E"/>
    <w:rsid w:val="00A53E7E"/>
    <w:rsid w:val="00A53EE3"/>
    <w:rsid w:val="00A57B85"/>
    <w:rsid w:val="00A618FF"/>
    <w:rsid w:val="00A62253"/>
    <w:rsid w:val="00A62444"/>
    <w:rsid w:val="00A62538"/>
    <w:rsid w:val="00A63A74"/>
    <w:rsid w:val="00A64004"/>
    <w:rsid w:val="00A644F7"/>
    <w:rsid w:val="00A64EB3"/>
    <w:rsid w:val="00A651D6"/>
    <w:rsid w:val="00A66073"/>
    <w:rsid w:val="00A66E1A"/>
    <w:rsid w:val="00A673CE"/>
    <w:rsid w:val="00A67442"/>
    <w:rsid w:val="00A67FC8"/>
    <w:rsid w:val="00A70FAB"/>
    <w:rsid w:val="00A7127F"/>
    <w:rsid w:val="00A71385"/>
    <w:rsid w:val="00A7151A"/>
    <w:rsid w:val="00A71836"/>
    <w:rsid w:val="00A721ED"/>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39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2517"/>
    <w:rsid w:val="00AB359E"/>
    <w:rsid w:val="00AB3E3D"/>
    <w:rsid w:val="00AB52B7"/>
    <w:rsid w:val="00AC1822"/>
    <w:rsid w:val="00AC20B7"/>
    <w:rsid w:val="00AC20BE"/>
    <w:rsid w:val="00AC2BD2"/>
    <w:rsid w:val="00AC3748"/>
    <w:rsid w:val="00AC38B9"/>
    <w:rsid w:val="00AC5521"/>
    <w:rsid w:val="00AD17A7"/>
    <w:rsid w:val="00AD1AEA"/>
    <w:rsid w:val="00AD28CB"/>
    <w:rsid w:val="00AD2F15"/>
    <w:rsid w:val="00AD3268"/>
    <w:rsid w:val="00AD3337"/>
    <w:rsid w:val="00AD3552"/>
    <w:rsid w:val="00AD41F6"/>
    <w:rsid w:val="00AD4DA5"/>
    <w:rsid w:val="00AD5563"/>
    <w:rsid w:val="00AD5B80"/>
    <w:rsid w:val="00AD5D40"/>
    <w:rsid w:val="00AD6387"/>
    <w:rsid w:val="00AD6748"/>
    <w:rsid w:val="00AD7B10"/>
    <w:rsid w:val="00AD7C3D"/>
    <w:rsid w:val="00AE1C9F"/>
    <w:rsid w:val="00AE2EFA"/>
    <w:rsid w:val="00AE36BC"/>
    <w:rsid w:val="00AE4146"/>
    <w:rsid w:val="00AE6370"/>
    <w:rsid w:val="00AE75C3"/>
    <w:rsid w:val="00AE79A5"/>
    <w:rsid w:val="00AE7D3B"/>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067"/>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530"/>
    <w:rsid w:val="00B32CDB"/>
    <w:rsid w:val="00B33140"/>
    <w:rsid w:val="00B33B6E"/>
    <w:rsid w:val="00B34228"/>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1158"/>
    <w:rsid w:val="00B71626"/>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86CA1"/>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1C"/>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B6C0A"/>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4028"/>
    <w:rsid w:val="00BD7E69"/>
    <w:rsid w:val="00BE0371"/>
    <w:rsid w:val="00BE0753"/>
    <w:rsid w:val="00BE0A1E"/>
    <w:rsid w:val="00BE0CFE"/>
    <w:rsid w:val="00BE1F75"/>
    <w:rsid w:val="00BE22D1"/>
    <w:rsid w:val="00BE2302"/>
    <w:rsid w:val="00BE3323"/>
    <w:rsid w:val="00BE3869"/>
    <w:rsid w:val="00BE4458"/>
    <w:rsid w:val="00BE4E13"/>
    <w:rsid w:val="00BE4F3B"/>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6AD0"/>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0969"/>
    <w:rsid w:val="00C113BA"/>
    <w:rsid w:val="00C117BB"/>
    <w:rsid w:val="00C11FE5"/>
    <w:rsid w:val="00C130E7"/>
    <w:rsid w:val="00C13934"/>
    <w:rsid w:val="00C147A9"/>
    <w:rsid w:val="00C15356"/>
    <w:rsid w:val="00C15CFE"/>
    <w:rsid w:val="00C16725"/>
    <w:rsid w:val="00C16FAF"/>
    <w:rsid w:val="00C1762B"/>
    <w:rsid w:val="00C2239A"/>
    <w:rsid w:val="00C23720"/>
    <w:rsid w:val="00C2431D"/>
    <w:rsid w:val="00C2439B"/>
    <w:rsid w:val="00C2457D"/>
    <w:rsid w:val="00C25226"/>
    <w:rsid w:val="00C2636B"/>
    <w:rsid w:val="00C2664E"/>
    <w:rsid w:val="00C26BBC"/>
    <w:rsid w:val="00C26C62"/>
    <w:rsid w:val="00C26EB6"/>
    <w:rsid w:val="00C30F51"/>
    <w:rsid w:val="00C317D8"/>
    <w:rsid w:val="00C32037"/>
    <w:rsid w:val="00C32C31"/>
    <w:rsid w:val="00C33E45"/>
    <w:rsid w:val="00C341F4"/>
    <w:rsid w:val="00C351CE"/>
    <w:rsid w:val="00C36223"/>
    <w:rsid w:val="00C3655A"/>
    <w:rsid w:val="00C366C7"/>
    <w:rsid w:val="00C37572"/>
    <w:rsid w:val="00C37C7D"/>
    <w:rsid w:val="00C37EA2"/>
    <w:rsid w:val="00C40D2C"/>
    <w:rsid w:val="00C42ECB"/>
    <w:rsid w:val="00C43A5A"/>
    <w:rsid w:val="00C43AF5"/>
    <w:rsid w:val="00C43CB7"/>
    <w:rsid w:val="00C44A01"/>
    <w:rsid w:val="00C456FD"/>
    <w:rsid w:val="00C4573E"/>
    <w:rsid w:val="00C459CD"/>
    <w:rsid w:val="00C45AF1"/>
    <w:rsid w:val="00C45E5B"/>
    <w:rsid w:val="00C47646"/>
    <w:rsid w:val="00C5031F"/>
    <w:rsid w:val="00C50623"/>
    <w:rsid w:val="00C51CC7"/>
    <w:rsid w:val="00C53CC8"/>
    <w:rsid w:val="00C545BF"/>
    <w:rsid w:val="00C55811"/>
    <w:rsid w:val="00C55AC1"/>
    <w:rsid w:val="00C55C68"/>
    <w:rsid w:val="00C55C81"/>
    <w:rsid w:val="00C5675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388C"/>
    <w:rsid w:val="00C74434"/>
    <w:rsid w:val="00C74E9D"/>
    <w:rsid w:val="00C7538B"/>
    <w:rsid w:val="00C76BC3"/>
    <w:rsid w:val="00C80C1C"/>
    <w:rsid w:val="00C823D0"/>
    <w:rsid w:val="00C82438"/>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7FF"/>
    <w:rsid w:val="00CA0C05"/>
    <w:rsid w:val="00CA0FA6"/>
    <w:rsid w:val="00CA1079"/>
    <w:rsid w:val="00CA1D5A"/>
    <w:rsid w:val="00CA2C45"/>
    <w:rsid w:val="00CA2E25"/>
    <w:rsid w:val="00CA3AE4"/>
    <w:rsid w:val="00CA4281"/>
    <w:rsid w:val="00CA53CE"/>
    <w:rsid w:val="00CA576F"/>
    <w:rsid w:val="00CA5A00"/>
    <w:rsid w:val="00CA5C48"/>
    <w:rsid w:val="00CA6AF9"/>
    <w:rsid w:val="00CA729A"/>
    <w:rsid w:val="00CA77AD"/>
    <w:rsid w:val="00CB00EE"/>
    <w:rsid w:val="00CB0129"/>
    <w:rsid w:val="00CB06C3"/>
    <w:rsid w:val="00CB366A"/>
    <w:rsid w:val="00CB3690"/>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5F2"/>
    <w:rsid w:val="00CD773C"/>
    <w:rsid w:val="00CD7CE3"/>
    <w:rsid w:val="00CE1ADA"/>
    <w:rsid w:val="00CE25B4"/>
    <w:rsid w:val="00CE2D22"/>
    <w:rsid w:val="00CE3073"/>
    <w:rsid w:val="00CE4791"/>
    <w:rsid w:val="00CE4C55"/>
    <w:rsid w:val="00CE507B"/>
    <w:rsid w:val="00CE5140"/>
    <w:rsid w:val="00CE523D"/>
    <w:rsid w:val="00CE5901"/>
    <w:rsid w:val="00CE5943"/>
    <w:rsid w:val="00CE62FF"/>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1BCF"/>
    <w:rsid w:val="00D22487"/>
    <w:rsid w:val="00D22A42"/>
    <w:rsid w:val="00D22F51"/>
    <w:rsid w:val="00D22FB6"/>
    <w:rsid w:val="00D23BD0"/>
    <w:rsid w:val="00D23EEA"/>
    <w:rsid w:val="00D24988"/>
    <w:rsid w:val="00D267E8"/>
    <w:rsid w:val="00D2692D"/>
    <w:rsid w:val="00D270EB"/>
    <w:rsid w:val="00D273FB"/>
    <w:rsid w:val="00D27479"/>
    <w:rsid w:val="00D30A60"/>
    <w:rsid w:val="00D317B7"/>
    <w:rsid w:val="00D33AED"/>
    <w:rsid w:val="00D33F86"/>
    <w:rsid w:val="00D341D4"/>
    <w:rsid w:val="00D35A1B"/>
    <w:rsid w:val="00D37650"/>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63BA"/>
    <w:rsid w:val="00D77BC8"/>
    <w:rsid w:val="00D80189"/>
    <w:rsid w:val="00D805CE"/>
    <w:rsid w:val="00D8071B"/>
    <w:rsid w:val="00D81CAF"/>
    <w:rsid w:val="00D81ED7"/>
    <w:rsid w:val="00D82B68"/>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0D8"/>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41E6"/>
    <w:rsid w:val="00DC5E3A"/>
    <w:rsid w:val="00DC68F4"/>
    <w:rsid w:val="00DC6BBA"/>
    <w:rsid w:val="00DC7260"/>
    <w:rsid w:val="00DC7E20"/>
    <w:rsid w:val="00DD0105"/>
    <w:rsid w:val="00DD02D8"/>
    <w:rsid w:val="00DD02FF"/>
    <w:rsid w:val="00DD06AE"/>
    <w:rsid w:val="00DD1EFC"/>
    <w:rsid w:val="00DD5CB8"/>
    <w:rsid w:val="00DD5EB2"/>
    <w:rsid w:val="00DD6E79"/>
    <w:rsid w:val="00DD733B"/>
    <w:rsid w:val="00DD7C82"/>
    <w:rsid w:val="00DE0670"/>
    <w:rsid w:val="00DE0BFC"/>
    <w:rsid w:val="00DE12E1"/>
    <w:rsid w:val="00DE1832"/>
    <w:rsid w:val="00DE292B"/>
    <w:rsid w:val="00DE36F7"/>
    <w:rsid w:val="00DE4468"/>
    <w:rsid w:val="00DE44A8"/>
    <w:rsid w:val="00DE477C"/>
    <w:rsid w:val="00DE49AE"/>
    <w:rsid w:val="00DE65B5"/>
    <w:rsid w:val="00DE6DF8"/>
    <w:rsid w:val="00DE7556"/>
    <w:rsid w:val="00DF1386"/>
    <w:rsid w:val="00DF2C37"/>
    <w:rsid w:val="00DF2C45"/>
    <w:rsid w:val="00DF305F"/>
    <w:rsid w:val="00DF3885"/>
    <w:rsid w:val="00DF542C"/>
    <w:rsid w:val="00DF5737"/>
    <w:rsid w:val="00DF5926"/>
    <w:rsid w:val="00DF66A9"/>
    <w:rsid w:val="00DF783A"/>
    <w:rsid w:val="00DF7B2E"/>
    <w:rsid w:val="00E011A2"/>
    <w:rsid w:val="00E01826"/>
    <w:rsid w:val="00E01888"/>
    <w:rsid w:val="00E02833"/>
    <w:rsid w:val="00E02BAF"/>
    <w:rsid w:val="00E033BE"/>
    <w:rsid w:val="00E03C5E"/>
    <w:rsid w:val="00E03D9B"/>
    <w:rsid w:val="00E04BDB"/>
    <w:rsid w:val="00E05749"/>
    <w:rsid w:val="00E0592C"/>
    <w:rsid w:val="00E05942"/>
    <w:rsid w:val="00E0619A"/>
    <w:rsid w:val="00E1035E"/>
    <w:rsid w:val="00E10B04"/>
    <w:rsid w:val="00E10DB4"/>
    <w:rsid w:val="00E10DC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679"/>
    <w:rsid w:val="00E25866"/>
    <w:rsid w:val="00E2626C"/>
    <w:rsid w:val="00E2701C"/>
    <w:rsid w:val="00E27A20"/>
    <w:rsid w:val="00E27F63"/>
    <w:rsid w:val="00E30522"/>
    <w:rsid w:val="00E3128F"/>
    <w:rsid w:val="00E31682"/>
    <w:rsid w:val="00E31FDE"/>
    <w:rsid w:val="00E328EB"/>
    <w:rsid w:val="00E33C8A"/>
    <w:rsid w:val="00E342D1"/>
    <w:rsid w:val="00E34F1B"/>
    <w:rsid w:val="00E35F87"/>
    <w:rsid w:val="00E36846"/>
    <w:rsid w:val="00E37022"/>
    <w:rsid w:val="00E3711F"/>
    <w:rsid w:val="00E37245"/>
    <w:rsid w:val="00E40069"/>
    <w:rsid w:val="00E40866"/>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007"/>
    <w:rsid w:val="00E76515"/>
    <w:rsid w:val="00E774F5"/>
    <w:rsid w:val="00E777BE"/>
    <w:rsid w:val="00E77D4B"/>
    <w:rsid w:val="00E8296E"/>
    <w:rsid w:val="00E82A0B"/>
    <w:rsid w:val="00E82A19"/>
    <w:rsid w:val="00E82F05"/>
    <w:rsid w:val="00E83B34"/>
    <w:rsid w:val="00E84E91"/>
    <w:rsid w:val="00E85067"/>
    <w:rsid w:val="00E8749C"/>
    <w:rsid w:val="00E87625"/>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83"/>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4F"/>
    <w:rsid w:val="00EE45E5"/>
    <w:rsid w:val="00EE554D"/>
    <w:rsid w:val="00EE5D23"/>
    <w:rsid w:val="00EE60FA"/>
    <w:rsid w:val="00EE70E0"/>
    <w:rsid w:val="00EE7162"/>
    <w:rsid w:val="00EE773F"/>
    <w:rsid w:val="00EF0A8F"/>
    <w:rsid w:val="00EF0C35"/>
    <w:rsid w:val="00EF0F64"/>
    <w:rsid w:val="00EF241F"/>
    <w:rsid w:val="00EF2DC4"/>
    <w:rsid w:val="00EF4B51"/>
    <w:rsid w:val="00EF5894"/>
    <w:rsid w:val="00EF6B14"/>
    <w:rsid w:val="00EF6B77"/>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641A"/>
    <w:rsid w:val="00F17C9A"/>
    <w:rsid w:val="00F2027F"/>
    <w:rsid w:val="00F204A8"/>
    <w:rsid w:val="00F207D9"/>
    <w:rsid w:val="00F20B8E"/>
    <w:rsid w:val="00F22875"/>
    <w:rsid w:val="00F22F90"/>
    <w:rsid w:val="00F237A2"/>
    <w:rsid w:val="00F23DAE"/>
    <w:rsid w:val="00F265D5"/>
    <w:rsid w:val="00F26837"/>
    <w:rsid w:val="00F31772"/>
    <w:rsid w:val="00F31B2E"/>
    <w:rsid w:val="00F31CAF"/>
    <w:rsid w:val="00F32DC1"/>
    <w:rsid w:val="00F32E08"/>
    <w:rsid w:val="00F33A12"/>
    <w:rsid w:val="00F33A4D"/>
    <w:rsid w:val="00F33C81"/>
    <w:rsid w:val="00F33F44"/>
    <w:rsid w:val="00F341D4"/>
    <w:rsid w:val="00F3492C"/>
    <w:rsid w:val="00F34D8B"/>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0A8"/>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081C"/>
    <w:rsid w:val="00FA150D"/>
    <w:rsid w:val="00FA1712"/>
    <w:rsid w:val="00FA182D"/>
    <w:rsid w:val="00FA1EA4"/>
    <w:rsid w:val="00FA30D2"/>
    <w:rsid w:val="00FA35A6"/>
    <w:rsid w:val="00FA4517"/>
    <w:rsid w:val="00FA513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5F5E"/>
    <w:rsid w:val="00FB608D"/>
    <w:rsid w:val="00FB6AF0"/>
    <w:rsid w:val="00FB6CD0"/>
    <w:rsid w:val="00FC0159"/>
    <w:rsid w:val="00FC045A"/>
    <w:rsid w:val="00FC14A6"/>
    <w:rsid w:val="00FC472B"/>
    <w:rsid w:val="00FC47D5"/>
    <w:rsid w:val="00FC4ACB"/>
    <w:rsid w:val="00FC4C60"/>
    <w:rsid w:val="00FC5C94"/>
    <w:rsid w:val="00FC6B17"/>
    <w:rsid w:val="00FC6CF3"/>
    <w:rsid w:val="00FD0263"/>
    <w:rsid w:val="00FD09EE"/>
    <w:rsid w:val="00FD2AA7"/>
    <w:rsid w:val="00FD45DC"/>
    <w:rsid w:val="00FD46EE"/>
    <w:rsid w:val="00FD4CED"/>
    <w:rsid w:val="00FD514D"/>
    <w:rsid w:val="00FD56DB"/>
    <w:rsid w:val="00FD5747"/>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D86"/>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Mencinsinresolver1">
    <w:name w:val="Mención sin resolver1"/>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12995037">
      <w:bodyDiv w:val="1"/>
      <w:marLeft w:val="0"/>
      <w:marRight w:val="0"/>
      <w:marTop w:val="0"/>
      <w:marBottom w:val="0"/>
      <w:divBdr>
        <w:top w:val="none" w:sz="0" w:space="0" w:color="auto"/>
        <w:left w:val="none" w:sz="0" w:space="0" w:color="auto"/>
        <w:bottom w:val="none" w:sz="0" w:space="0" w:color="auto"/>
        <w:right w:val="none" w:sz="0" w:space="0" w:color="auto"/>
      </w:divBdr>
      <w:divsChild>
        <w:div w:id="1172405851">
          <w:marLeft w:val="0"/>
          <w:marRight w:val="0"/>
          <w:marTop w:val="0"/>
          <w:marBottom w:val="101"/>
          <w:divBdr>
            <w:top w:val="none" w:sz="0" w:space="0" w:color="auto"/>
            <w:left w:val="none" w:sz="0" w:space="0" w:color="auto"/>
            <w:bottom w:val="none" w:sz="0" w:space="0" w:color="auto"/>
            <w:right w:val="none" w:sz="0" w:space="0" w:color="auto"/>
          </w:divBdr>
        </w:div>
        <w:div w:id="619143386">
          <w:marLeft w:val="1008"/>
          <w:marRight w:val="0"/>
          <w:marTop w:val="0"/>
          <w:marBottom w:val="101"/>
          <w:divBdr>
            <w:top w:val="none" w:sz="0" w:space="0" w:color="auto"/>
            <w:left w:val="none" w:sz="0" w:space="0" w:color="auto"/>
            <w:bottom w:val="none" w:sz="0" w:space="0" w:color="auto"/>
            <w:right w:val="none" w:sz="0" w:space="0" w:color="auto"/>
          </w:divBdr>
        </w:div>
        <w:div w:id="633873426">
          <w:marLeft w:val="1008"/>
          <w:marRight w:val="0"/>
          <w:marTop w:val="0"/>
          <w:marBottom w:val="101"/>
          <w:divBdr>
            <w:top w:val="none" w:sz="0" w:space="0" w:color="auto"/>
            <w:left w:val="none" w:sz="0" w:space="0" w:color="auto"/>
            <w:bottom w:val="none" w:sz="0" w:space="0" w:color="auto"/>
            <w:right w:val="none" w:sz="0" w:space="0" w:color="auto"/>
          </w:divBdr>
        </w:div>
        <w:div w:id="1457216922">
          <w:marLeft w:val="1008"/>
          <w:marRight w:val="0"/>
          <w:marTop w:val="0"/>
          <w:marBottom w:val="101"/>
          <w:divBdr>
            <w:top w:val="none" w:sz="0" w:space="0" w:color="auto"/>
            <w:left w:val="none" w:sz="0" w:space="0" w:color="auto"/>
            <w:bottom w:val="none" w:sz="0" w:space="0" w:color="auto"/>
            <w:right w:val="none" w:sz="0" w:space="0" w:color="auto"/>
          </w:divBdr>
        </w:div>
      </w:divsChild>
    </w:div>
    <w:div w:id="14118971">
      <w:bodyDiv w:val="1"/>
      <w:marLeft w:val="0"/>
      <w:marRight w:val="0"/>
      <w:marTop w:val="0"/>
      <w:marBottom w:val="0"/>
      <w:divBdr>
        <w:top w:val="none" w:sz="0" w:space="0" w:color="auto"/>
        <w:left w:val="none" w:sz="0" w:space="0" w:color="auto"/>
        <w:bottom w:val="none" w:sz="0" w:space="0" w:color="auto"/>
        <w:right w:val="none" w:sz="0" w:space="0" w:color="auto"/>
      </w:divBdr>
      <w:divsChild>
        <w:div w:id="1121417661">
          <w:marLeft w:val="1008"/>
          <w:marRight w:val="0"/>
          <w:marTop w:val="0"/>
          <w:marBottom w:val="101"/>
          <w:divBdr>
            <w:top w:val="none" w:sz="0" w:space="0" w:color="auto"/>
            <w:left w:val="none" w:sz="0" w:space="0" w:color="auto"/>
            <w:bottom w:val="none" w:sz="0" w:space="0" w:color="auto"/>
            <w:right w:val="none" w:sz="0" w:space="0" w:color="auto"/>
          </w:divBdr>
        </w:div>
        <w:div w:id="1660887793">
          <w:marLeft w:val="1008"/>
          <w:marRight w:val="0"/>
          <w:marTop w:val="0"/>
          <w:marBottom w:val="101"/>
          <w:divBdr>
            <w:top w:val="none" w:sz="0" w:space="0" w:color="auto"/>
            <w:left w:val="none" w:sz="0" w:space="0" w:color="auto"/>
            <w:bottom w:val="none" w:sz="0" w:space="0" w:color="auto"/>
            <w:right w:val="none" w:sz="0" w:space="0" w:color="auto"/>
          </w:divBdr>
        </w:div>
        <w:div w:id="234558078">
          <w:marLeft w:val="1008"/>
          <w:marRight w:val="0"/>
          <w:marTop w:val="0"/>
          <w:marBottom w:val="101"/>
          <w:divBdr>
            <w:top w:val="none" w:sz="0" w:space="0" w:color="auto"/>
            <w:left w:val="none" w:sz="0" w:space="0" w:color="auto"/>
            <w:bottom w:val="none" w:sz="0" w:space="0" w:color="auto"/>
            <w:right w:val="none" w:sz="0" w:space="0" w:color="auto"/>
          </w:divBdr>
        </w:div>
      </w:divsChild>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5804157">
      <w:bodyDiv w:val="1"/>
      <w:marLeft w:val="0"/>
      <w:marRight w:val="0"/>
      <w:marTop w:val="0"/>
      <w:marBottom w:val="0"/>
      <w:divBdr>
        <w:top w:val="none" w:sz="0" w:space="0" w:color="auto"/>
        <w:left w:val="none" w:sz="0" w:space="0" w:color="auto"/>
        <w:bottom w:val="none" w:sz="0" w:space="0" w:color="auto"/>
        <w:right w:val="none" w:sz="0" w:space="0" w:color="auto"/>
      </w:divBdr>
    </w:div>
    <w:div w:id="67462843">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3017105">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78008367">
      <w:bodyDiv w:val="1"/>
      <w:marLeft w:val="0"/>
      <w:marRight w:val="0"/>
      <w:marTop w:val="0"/>
      <w:marBottom w:val="0"/>
      <w:divBdr>
        <w:top w:val="none" w:sz="0" w:space="0" w:color="auto"/>
        <w:left w:val="none" w:sz="0" w:space="0" w:color="auto"/>
        <w:bottom w:val="none" w:sz="0" w:space="0" w:color="auto"/>
        <w:right w:val="none" w:sz="0" w:space="0" w:color="auto"/>
      </w:divBdr>
    </w:div>
    <w:div w:id="189683970">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274794240">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497309659">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3157129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31731974">
      <w:bodyDiv w:val="1"/>
      <w:marLeft w:val="0"/>
      <w:marRight w:val="0"/>
      <w:marTop w:val="0"/>
      <w:marBottom w:val="0"/>
      <w:divBdr>
        <w:top w:val="none" w:sz="0" w:space="0" w:color="auto"/>
        <w:left w:val="none" w:sz="0" w:space="0" w:color="auto"/>
        <w:bottom w:val="none" w:sz="0" w:space="0" w:color="auto"/>
        <w:right w:val="none" w:sz="0" w:space="0" w:color="auto"/>
      </w:divBdr>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325733">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5122009">
      <w:bodyDiv w:val="1"/>
      <w:marLeft w:val="0"/>
      <w:marRight w:val="0"/>
      <w:marTop w:val="0"/>
      <w:marBottom w:val="0"/>
      <w:divBdr>
        <w:top w:val="none" w:sz="0" w:space="0" w:color="auto"/>
        <w:left w:val="none" w:sz="0" w:space="0" w:color="auto"/>
        <w:bottom w:val="none" w:sz="0" w:space="0" w:color="auto"/>
        <w:right w:val="none" w:sz="0" w:space="0" w:color="auto"/>
      </w:divBdr>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3605931">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47081800">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04673409">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6889338">
      <w:bodyDiv w:val="1"/>
      <w:marLeft w:val="0"/>
      <w:marRight w:val="0"/>
      <w:marTop w:val="0"/>
      <w:marBottom w:val="0"/>
      <w:divBdr>
        <w:top w:val="none" w:sz="0" w:space="0" w:color="auto"/>
        <w:left w:val="none" w:sz="0" w:space="0" w:color="auto"/>
        <w:bottom w:val="none" w:sz="0" w:space="0" w:color="auto"/>
        <w:right w:val="none" w:sz="0" w:space="0" w:color="auto"/>
      </w:divBdr>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21054848">
      <w:bodyDiv w:val="1"/>
      <w:marLeft w:val="0"/>
      <w:marRight w:val="0"/>
      <w:marTop w:val="0"/>
      <w:marBottom w:val="0"/>
      <w:divBdr>
        <w:top w:val="none" w:sz="0" w:space="0" w:color="auto"/>
        <w:left w:val="none" w:sz="0" w:space="0" w:color="auto"/>
        <w:bottom w:val="none" w:sz="0" w:space="0" w:color="auto"/>
        <w:right w:val="none" w:sz="0" w:space="0" w:color="auto"/>
      </w:divBdr>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4971933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08360295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450493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52663458">
      <w:bodyDiv w:val="1"/>
      <w:marLeft w:val="0"/>
      <w:marRight w:val="0"/>
      <w:marTop w:val="0"/>
      <w:marBottom w:val="0"/>
      <w:divBdr>
        <w:top w:val="none" w:sz="0" w:space="0" w:color="auto"/>
        <w:left w:val="none" w:sz="0" w:space="0" w:color="auto"/>
        <w:bottom w:val="none" w:sz="0" w:space="0" w:color="auto"/>
        <w:right w:val="none" w:sz="0" w:space="0" w:color="auto"/>
      </w:divBdr>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17029028">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80086834">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17746260">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3697016">
      <w:bodyDiv w:val="1"/>
      <w:marLeft w:val="0"/>
      <w:marRight w:val="0"/>
      <w:marTop w:val="0"/>
      <w:marBottom w:val="0"/>
      <w:divBdr>
        <w:top w:val="none" w:sz="0" w:space="0" w:color="auto"/>
        <w:left w:val="none" w:sz="0" w:space="0" w:color="auto"/>
        <w:bottom w:val="none" w:sz="0" w:space="0" w:color="auto"/>
        <w:right w:val="none" w:sz="0" w:space="0" w:color="auto"/>
      </w:divBdr>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00579761">
      <w:bodyDiv w:val="1"/>
      <w:marLeft w:val="0"/>
      <w:marRight w:val="0"/>
      <w:marTop w:val="0"/>
      <w:marBottom w:val="0"/>
      <w:divBdr>
        <w:top w:val="none" w:sz="0" w:space="0" w:color="auto"/>
        <w:left w:val="none" w:sz="0" w:space="0" w:color="auto"/>
        <w:bottom w:val="none" w:sz="0" w:space="0" w:color="auto"/>
        <w:right w:val="none" w:sz="0" w:space="0" w:color="auto"/>
      </w:divBdr>
    </w:div>
    <w:div w:id="1500922579">
      <w:bodyDiv w:val="1"/>
      <w:marLeft w:val="0"/>
      <w:marRight w:val="0"/>
      <w:marTop w:val="0"/>
      <w:marBottom w:val="0"/>
      <w:divBdr>
        <w:top w:val="none" w:sz="0" w:space="0" w:color="auto"/>
        <w:left w:val="none" w:sz="0" w:space="0" w:color="auto"/>
        <w:bottom w:val="none" w:sz="0" w:space="0" w:color="auto"/>
        <w:right w:val="none" w:sz="0" w:space="0" w:color="auto"/>
      </w:divBdr>
    </w:div>
    <w:div w:id="1530265791">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580215850">
      <w:bodyDiv w:val="1"/>
      <w:marLeft w:val="0"/>
      <w:marRight w:val="0"/>
      <w:marTop w:val="0"/>
      <w:marBottom w:val="0"/>
      <w:divBdr>
        <w:top w:val="none" w:sz="0" w:space="0" w:color="auto"/>
        <w:left w:val="none" w:sz="0" w:space="0" w:color="auto"/>
        <w:bottom w:val="none" w:sz="0" w:space="0" w:color="auto"/>
        <w:right w:val="none" w:sz="0" w:space="0" w:color="auto"/>
      </w:divBdr>
    </w:div>
    <w:div w:id="1585382727">
      <w:bodyDiv w:val="1"/>
      <w:marLeft w:val="0"/>
      <w:marRight w:val="0"/>
      <w:marTop w:val="0"/>
      <w:marBottom w:val="0"/>
      <w:divBdr>
        <w:top w:val="none" w:sz="0" w:space="0" w:color="auto"/>
        <w:left w:val="none" w:sz="0" w:space="0" w:color="auto"/>
        <w:bottom w:val="none" w:sz="0" w:space="0" w:color="auto"/>
        <w:right w:val="none" w:sz="0" w:space="0" w:color="auto"/>
      </w:divBdr>
    </w:div>
    <w:div w:id="1588538086">
      <w:bodyDiv w:val="1"/>
      <w:marLeft w:val="0"/>
      <w:marRight w:val="0"/>
      <w:marTop w:val="0"/>
      <w:marBottom w:val="0"/>
      <w:divBdr>
        <w:top w:val="none" w:sz="0" w:space="0" w:color="auto"/>
        <w:left w:val="none" w:sz="0" w:space="0" w:color="auto"/>
        <w:bottom w:val="none" w:sz="0" w:space="0" w:color="auto"/>
        <w:right w:val="none" w:sz="0" w:space="0" w:color="auto"/>
      </w:divBdr>
      <w:divsChild>
        <w:div w:id="178282165">
          <w:marLeft w:val="0"/>
          <w:marRight w:val="0"/>
          <w:marTop w:val="0"/>
          <w:marBottom w:val="101"/>
          <w:divBdr>
            <w:top w:val="none" w:sz="0" w:space="0" w:color="auto"/>
            <w:left w:val="none" w:sz="0" w:space="0" w:color="auto"/>
            <w:bottom w:val="none" w:sz="0" w:space="0" w:color="auto"/>
            <w:right w:val="none" w:sz="0" w:space="0" w:color="auto"/>
          </w:divBdr>
        </w:div>
        <w:div w:id="1882356970">
          <w:marLeft w:val="0"/>
          <w:marRight w:val="0"/>
          <w:marTop w:val="0"/>
          <w:marBottom w:val="101"/>
          <w:divBdr>
            <w:top w:val="none" w:sz="0" w:space="0" w:color="auto"/>
            <w:left w:val="none" w:sz="0" w:space="0" w:color="auto"/>
            <w:bottom w:val="none" w:sz="0" w:space="0" w:color="auto"/>
            <w:right w:val="none" w:sz="0" w:space="0" w:color="auto"/>
          </w:divBdr>
        </w:div>
        <w:div w:id="934216376">
          <w:marLeft w:val="0"/>
          <w:marRight w:val="0"/>
          <w:marTop w:val="0"/>
          <w:marBottom w:val="101"/>
          <w:divBdr>
            <w:top w:val="none" w:sz="0" w:space="0" w:color="auto"/>
            <w:left w:val="none" w:sz="0" w:space="0" w:color="auto"/>
            <w:bottom w:val="none" w:sz="0" w:space="0" w:color="auto"/>
            <w:right w:val="none" w:sz="0" w:space="0" w:color="auto"/>
          </w:divBdr>
        </w:div>
      </w:divsChild>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24655783">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4907825">
      <w:bodyDiv w:val="1"/>
      <w:marLeft w:val="0"/>
      <w:marRight w:val="0"/>
      <w:marTop w:val="0"/>
      <w:marBottom w:val="0"/>
      <w:divBdr>
        <w:top w:val="none" w:sz="0" w:space="0" w:color="auto"/>
        <w:left w:val="none" w:sz="0" w:space="0" w:color="auto"/>
        <w:bottom w:val="none" w:sz="0" w:space="0" w:color="auto"/>
        <w:right w:val="none" w:sz="0" w:space="0" w:color="auto"/>
      </w:divBdr>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47301385">
      <w:bodyDiv w:val="1"/>
      <w:marLeft w:val="0"/>
      <w:marRight w:val="0"/>
      <w:marTop w:val="0"/>
      <w:marBottom w:val="0"/>
      <w:divBdr>
        <w:top w:val="none" w:sz="0" w:space="0" w:color="auto"/>
        <w:left w:val="none" w:sz="0" w:space="0" w:color="auto"/>
        <w:bottom w:val="none" w:sz="0" w:space="0" w:color="auto"/>
        <w:right w:val="none" w:sz="0" w:space="0" w:color="auto"/>
      </w:divBdr>
    </w:div>
    <w:div w:id="196785189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1972520397">
      <w:bodyDiv w:val="1"/>
      <w:marLeft w:val="0"/>
      <w:marRight w:val="0"/>
      <w:marTop w:val="0"/>
      <w:marBottom w:val="0"/>
      <w:divBdr>
        <w:top w:val="none" w:sz="0" w:space="0" w:color="auto"/>
        <w:left w:val="none" w:sz="0" w:space="0" w:color="auto"/>
        <w:bottom w:val="none" w:sz="0" w:space="0" w:color="auto"/>
        <w:right w:val="none" w:sz="0" w:space="0" w:color="auto"/>
      </w:divBdr>
    </w:div>
    <w:div w:id="1983343603">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094664166">
      <w:bodyDiv w:val="1"/>
      <w:marLeft w:val="0"/>
      <w:marRight w:val="0"/>
      <w:marTop w:val="0"/>
      <w:marBottom w:val="0"/>
      <w:divBdr>
        <w:top w:val="none" w:sz="0" w:space="0" w:color="auto"/>
        <w:left w:val="none" w:sz="0" w:space="0" w:color="auto"/>
        <w:bottom w:val="none" w:sz="0" w:space="0" w:color="auto"/>
        <w:right w:val="none" w:sz="0" w:space="0" w:color="auto"/>
      </w:divBdr>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 w:id="2135902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91365&amp;fecha=06/06/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f.gob.mx/nota_detalle.php?codigo=5693656&amp;fecha=28/06/2023" TargetMode="External"/><Relationship Id="rId4" Type="http://schemas.openxmlformats.org/officeDocument/2006/relationships/settings" Target="settings.xml"/><Relationship Id="rId9" Type="http://schemas.openxmlformats.org/officeDocument/2006/relationships/hyperlink" Target="https://dof.gob.mx/nota_detalle.php?codigo=5693334&amp;fecha=26/06/2023"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28FD-0D39-470C-AD11-500CA6C4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46</cp:revision>
  <cp:lastPrinted>2021-01-29T22:36:00Z</cp:lastPrinted>
  <dcterms:created xsi:type="dcterms:W3CDTF">2023-03-06T23:45:00Z</dcterms:created>
  <dcterms:modified xsi:type="dcterms:W3CDTF">2023-07-06T16:10:00Z</dcterms:modified>
</cp:coreProperties>
</file>