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226" w:type="dxa"/>
        <w:tblInd w:w="-1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
        <w:gridCol w:w="2127"/>
        <w:gridCol w:w="2693"/>
        <w:gridCol w:w="2977"/>
        <w:gridCol w:w="5812"/>
      </w:tblGrid>
      <w:tr w:rsidR="006A4C7F" w:rsidRPr="00CE62FF" w14:paraId="4C629D82" w14:textId="77777777" w:rsidTr="00A66E1A">
        <w:trPr>
          <w:tblHeader/>
        </w:trPr>
        <w:tc>
          <w:tcPr>
            <w:tcW w:w="617" w:type="dxa"/>
            <w:tcBorders>
              <w:bottom w:val="single" w:sz="4" w:space="0" w:color="auto"/>
            </w:tcBorders>
            <w:shd w:val="clear" w:color="auto" w:fill="D9D9D9" w:themeFill="background1" w:themeFillShade="D9"/>
          </w:tcPr>
          <w:p w14:paraId="511EC252" w14:textId="77777777" w:rsidR="006A4C7F" w:rsidRPr="00CE62FF" w:rsidRDefault="006A4C7F" w:rsidP="0066117C">
            <w:pPr>
              <w:spacing w:line="276" w:lineRule="auto"/>
              <w:jc w:val="center"/>
              <w:rPr>
                <w:rFonts w:ascii="HelveticaNeueLT Std" w:hAnsi="HelveticaNeueLT Std" w:cs="Arial"/>
                <w:b/>
                <w:bCs/>
                <w:sz w:val="20"/>
                <w:szCs w:val="20"/>
              </w:rPr>
            </w:pPr>
            <w:r w:rsidRPr="00CE62FF">
              <w:rPr>
                <w:rFonts w:ascii="HelveticaNeueLT Std" w:hAnsi="HelveticaNeueLT Std" w:cs="Arial"/>
                <w:b/>
                <w:bCs/>
                <w:sz w:val="20"/>
                <w:szCs w:val="20"/>
              </w:rPr>
              <w:t xml:space="preserve">No. </w:t>
            </w:r>
          </w:p>
        </w:tc>
        <w:tc>
          <w:tcPr>
            <w:tcW w:w="2127" w:type="dxa"/>
            <w:tcBorders>
              <w:bottom w:val="single" w:sz="4" w:space="0" w:color="auto"/>
            </w:tcBorders>
            <w:shd w:val="clear" w:color="auto" w:fill="D9D9D9" w:themeFill="background1" w:themeFillShade="D9"/>
          </w:tcPr>
          <w:p w14:paraId="24119DB4" w14:textId="77777777" w:rsidR="006A4C7F" w:rsidRPr="00CE62FF" w:rsidRDefault="006A4C7F" w:rsidP="0066117C">
            <w:pPr>
              <w:spacing w:line="276" w:lineRule="auto"/>
              <w:jc w:val="center"/>
              <w:rPr>
                <w:rFonts w:ascii="HelveticaNeueLT Std" w:hAnsi="HelveticaNeueLT Std" w:cs="Arial"/>
                <w:b/>
                <w:bCs/>
                <w:sz w:val="20"/>
                <w:szCs w:val="20"/>
              </w:rPr>
            </w:pPr>
            <w:r w:rsidRPr="00CE62FF">
              <w:rPr>
                <w:rFonts w:ascii="HelveticaNeueLT Std" w:hAnsi="HelveticaNeueLT Std" w:cs="Arial"/>
                <w:b/>
                <w:bCs/>
                <w:sz w:val="20"/>
                <w:szCs w:val="20"/>
              </w:rPr>
              <w:t>Fecha</w:t>
            </w:r>
          </w:p>
        </w:tc>
        <w:tc>
          <w:tcPr>
            <w:tcW w:w="2693" w:type="dxa"/>
            <w:tcBorders>
              <w:bottom w:val="single" w:sz="4" w:space="0" w:color="auto"/>
            </w:tcBorders>
            <w:shd w:val="clear" w:color="auto" w:fill="D9D9D9" w:themeFill="background1" w:themeFillShade="D9"/>
          </w:tcPr>
          <w:p w14:paraId="52DBDB08" w14:textId="77777777" w:rsidR="006A4C7F" w:rsidRPr="00CE62FF" w:rsidRDefault="006A4C7F" w:rsidP="0066117C">
            <w:pPr>
              <w:spacing w:line="276" w:lineRule="auto"/>
              <w:jc w:val="center"/>
              <w:rPr>
                <w:rFonts w:ascii="HelveticaNeueLT Std" w:hAnsi="HelveticaNeueLT Std" w:cs="Arial"/>
                <w:b/>
                <w:bCs/>
                <w:sz w:val="20"/>
                <w:szCs w:val="20"/>
              </w:rPr>
            </w:pPr>
            <w:r w:rsidRPr="00CE62FF">
              <w:rPr>
                <w:rFonts w:ascii="HelveticaNeueLT Std" w:hAnsi="HelveticaNeueLT Std" w:cs="Arial"/>
                <w:b/>
                <w:bCs/>
                <w:sz w:val="20"/>
                <w:szCs w:val="20"/>
              </w:rPr>
              <w:t>Apartado</w:t>
            </w:r>
          </w:p>
        </w:tc>
        <w:tc>
          <w:tcPr>
            <w:tcW w:w="2977" w:type="dxa"/>
            <w:tcBorders>
              <w:top w:val="single" w:sz="4" w:space="0" w:color="auto"/>
              <w:bottom w:val="single" w:sz="4" w:space="0" w:color="auto"/>
            </w:tcBorders>
            <w:shd w:val="clear" w:color="auto" w:fill="D9D9D9" w:themeFill="background1" w:themeFillShade="D9"/>
          </w:tcPr>
          <w:p w14:paraId="576E972C" w14:textId="77777777" w:rsidR="006A4C7F" w:rsidRPr="00CE62FF" w:rsidRDefault="006A4C7F" w:rsidP="0066117C">
            <w:pPr>
              <w:spacing w:line="276" w:lineRule="auto"/>
              <w:jc w:val="center"/>
              <w:rPr>
                <w:rFonts w:ascii="HelveticaNeueLT Std" w:hAnsi="HelveticaNeueLT Std" w:cs="Arial"/>
                <w:b/>
                <w:bCs/>
                <w:sz w:val="20"/>
                <w:szCs w:val="20"/>
              </w:rPr>
            </w:pPr>
            <w:r w:rsidRPr="00CE62FF">
              <w:rPr>
                <w:rFonts w:ascii="HelveticaNeueLT Std" w:hAnsi="HelveticaNeueLT Std" w:cs="Arial"/>
                <w:b/>
                <w:bCs/>
                <w:sz w:val="20"/>
                <w:szCs w:val="20"/>
              </w:rPr>
              <w:t>Contenido</w:t>
            </w:r>
          </w:p>
        </w:tc>
        <w:tc>
          <w:tcPr>
            <w:tcW w:w="5812" w:type="dxa"/>
            <w:tcBorders>
              <w:bottom w:val="single" w:sz="4" w:space="0" w:color="auto"/>
            </w:tcBorders>
            <w:shd w:val="clear" w:color="auto" w:fill="D9D9D9" w:themeFill="background1" w:themeFillShade="D9"/>
          </w:tcPr>
          <w:p w14:paraId="48AA67F2" w14:textId="77777777" w:rsidR="006A4C7F" w:rsidRPr="00CE62FF" w:rsidRDefault="006A4C7F" w:rsidP="0066117C">
            <w:pPr>
              <w:spacing w:line="276" w:lineRule="auto"/>
              <w:jc w:val="center"/>
              <w:rPr>
                <w:rFonts w:ascii="HelveticaNeueLT Std" w:hAnsi="HelveticaNeueLT Std" w:cs="Arial"/>
                <w:b/>
                <w:bCs/>
                <w:sz w:val="20"/>
                <w:szCs w:val="20"/>
              </w:rPr>
            </w:pPr>
            <w:r w:rsidRPr="00CE62FF">
              <w:rPr>
                <w:rFonts w:ascii="HelveticaNeueLT Std" w:hAnsi="HelveticaNeueLT Std" w:cs="Arial"/>
                <w:b/>
                <w:bCs/>
                <w:sz w:val="20"/>
                <w:szCs w:val="20"/>
              </w:rPr>
              <w:t>Observaciones</w:t>
            </w:r>
          </w:p>
        </w:tc>
      </w:tr>
      <w:tr w:rsidR="006A4C7F" w:rsidRPr="00CE62FF" w14:paraId="202B1679" w14:textId="77777777" w:rsidTr="00A66E1A">
        <w:tc>
          <w:tcPr>
            <w:tcW w:w="617" w:type="dxa"/>
            <w:tcBorders>
              <w:bottom w:val="nil"/>
            </w:tcBorders>
            <w:shd w:val="clear" w:color="auto" w:fill="auto"/>
          </w:tcPr>
          <w:p w14:paraId="7E4161F5" w14:textId="77777777" w:rsidR="006A4C7F" w:rsidRPr="00CE62FF" w:rsidRDefault="006A4C7F" w:rsidP="0066117C">
            <w:pPr>
              <w:spacing w:line="276" w:lineRule="auto"/>
              <w:jc w:val="center"/>
              <w:rPr>
                <w:rFonts w:ascii="HelveticaNeueLT Std" w:hAnsi="HelveticaNeueLT Std" w:cs="Arial"/>
                <w:b/>
                <w:bCs/>
                <w:sz w:val="20"/>
                <w:szCs w:val="20"/>
              </w:rPr>
            </w:pPr>
            <w:r w:rsidRPr="00CE62FF">
              <w:rPr>
                <w:rFonts w:ascii="HelveticaNeueLT Std" w:hAnsi="HelveticaNeueLT Std" w:cs="Arial"/>
                <w:b/>
                <w:bCs/>
                <w:sz w:val="20"/>
                <w:szCs w:val="20"/>
              </w:rPr>
              <w:t>9</w:t>
            </w:r>
          </w:p>
        </w:tc>
        <w:tc>
          <w:tcPr>
            <w:tcW w:w="2127" w:type="dxa"/>
            <w:tcBorders>
              <w:bottom w:val="nil"/>
            </w:tcBorders>
            <w:shd w:val="clear" w:color="auto" w:fill="auto"/>
          </w:tcPr>
          <w:p w14:paraId="1094DE1E" w14:textId="77777777" w:rsidR="006A4C7F" w:rsidRDefault="006A4C7F" w:rsidP="00A443B2">
            <w:pPr>
              <w:spacing w:line="276" w:lineRule="auto"/>
              <w:jc w:val="center"/>
              <w:rPr>
                <w:rFonts w:ascii="HelveticaNeueLT Std" w:hAnsi="HelveticaNeueLT Std" w:cs="Arial"/>
                <w:b/>
                <w:bCs/>
                <w:sz w:val="20"/>
                <w:szCs w:val="20"/>
              </w:rPr>
            </w:pPr>
            <w:r w:rsidRPr="00CE62FF">
              <w:rPr>
                <w:rFonts w:ascii="HelveticaNeueLT Std" w:hAnsi="HelveticaNeueLT Std" w:cs="Arial"/>
                <w:b/>
                <w:bCs/>
                <w:sz w:val="20"/>
                <w:szCs w:val="20"/>
              </w:rPr>
              <w:t>10-enero-202</w:t>
            </w:r>
            <w:r w:rsidR="00A443B2" w:rsidRPr="00CE62FF">
              <w:rPr>
                <w:rFonts w:ascii="HelveticaNeueLT Std" w:hAnsi="HelveticaNeueLT Std" w:cs="Arial"/>
                <w:b/>
                <w:bCs/>
                <w:sz w:val="20"/>
                <w:szCs w:val="20"/>
              </w:rPr>
              <w:t>3</w:t>
            </w:r>
          </w:p>
          <w:p w14:paraId="2D57FD20" w14:textId="7A1479E8" w:rsidR="00AD2F15" w:rsidRPr="00CE62FF" w:rsidRDefault="00AD2F15" w:rsidP="00A443B2">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 xml:space="preserve">Única Sección </w:t>
            </w:r>
          </w:p>
        </w:tc>
        <w:tc>
          <w:tcPr>
            <w:tcW w:w="2693" w:type="dxa"/>
            <w:tcBorders>
              <w:bottom w:val="nil"/>
            </w:tcBorders>
            <w:shd w:val="clear" w:color="auto" w:fill="auto"/>
          </w:tcPr>
          <w:p w14:paraId="239677B0" w14:textId="77777777" w:rsidR="006A4C7F" w:rsidRPr="00CE62FF" w:rsidRDefault="006A4C7F" w:rsidP="0066117C">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CE62FF">
              <w:rPr>
                <w:rFonts w:ascii="HelveticaNeueLT Std" w:eastAsia="MS Mincho" w:hAnsi="HelveticaNeueLT Std"/>
                <w:bCs/>
                <w:sz w:val="20"/>
                <w:szCs w:val="20"/>
                <w:lang w:eastAsia="en-US"/>
              </w:rPr>
              <w:t>Poder Ejecutivo Federal</w:t>
            </w:r>
          </w:p>
          <w:p w14:paraId="5E7A6437" w14:textId="77777777" w:rsidR="006A4C7F" w:rsidRPr="00CE62FF" w:rsidRDefault="006A4C7F" w:rsidP="0066117C">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1863848C" w14:textId="5B5863D5" w:rsidR="006A4C7F" w:rsidRPr="00CE62FF" w:rsidRDefault="006A4C7F" w:rsidP="00DC41E6">
            <w:pPr>
              <w:spacing w:line="276" w:lineRule="auto"/>
              <w:jc w:val="center"/>
              <w:rPr>
                <w:rFonts w:ascii="HelveticaNeueLT Std" w:hAnsi="HelveticaNeueLT Std" w:cs="Arial"/>
                <w:b/>
                <w:bCs/>
                <w:sz w:val="20"/>
                <w:szCs w:val="20"/>
              </w:rPr>
            </w:pPr>
            <w:r w:rsidRPr="00CE62FF">
              <w:rPr>
                <w:rFonts w:ascii="HelveticaNeueLT Std" w:hAnsi="HelveticaNeueLT Std"/>
                <w:b/>
                <w:bCs/>
                <w:sz w:val="20"/>
                <w:szCs w:val="20"/>
              </w:rPr>
              <w:t>Secretaria de Hacienda y Crédito Público</w:t>
            </w:r>
          </w:p>
        </w:tc>
        <w:tc>
          <w:tcPr>
            <w:tcW w:w="2977" w:type="dxa"/>
            <w:tcBorders>
              <w:top w:val="single" w:sz="4" w:space="0" w:color="auto"/>
              <w:bottom w:val="nil"/>
            </w:tcBorders>
            <w:shd w:val="clear" w:color="auto" w:fill="auto"/>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6A4C7F" w:rsidRPr="00CE62FF" w14:paraId="72CFC99D" w14:textId="77777777" w:rsidTr="006A4C7F">
              <w:trPr>
                <w:tblCellSpacing w:w="0" w:type="dxa"/>
              </w:trPr>
              <w:tc>
                <w:tcPr>
                  <w:tcW w:w="8832" w:type="dxa"/>
                  <w:shd w:val="clear" w:color="auto" w:fill="FFFFFF"/>
                  <w:vAlign w:val="center"/>
                  <w:hideMark/>
                </w:tcPr>
                <w:p w14:paraId="3CE0BE49" w14:textId="4C9F1B4C" w:rsidR="006A4C7F" w:rsidRPr="00CE62FF" w:rsidRDefault="00172907" w:rsidP="006A4C7F">
                  <w:pPr>
                    <w:jc w:val="both"/>
                    <w:rPr>
                      <w:rFonts w:ascii="HelveticaNeueLT Std" w:hAnsi="HelveticaNeueLT Std"/>
                      <w:b/>
                      <w:bCs/>
                      <w:sz w:val="20"/>
                      <w:szCs w:val="20"/>
                    </w:rPr>
                  </w:pPr>
                  <w:hyperlink r:id="rId8" w:history="1">
                    <w:r w:rsidR="006A4C7F" w:rsidRPr="00CE62FF">
                      <w:rPr>
                        <w:rFonts w:ascii="HelveticaNeueLT Std" w:hAnsi="HelveticaNeueLT Std"/>
                        <w:b/>
                        <w:bCs/>
                        <w:sz w:val="20"/>
                        <w:szCs w:val="20"/>
                      </w:rPr>
                      <w:t>Anexos 3, 7, 11, 12, 13, 17, 22, 25 y 25 Bis, de la Resolución Miscelánea Fiscal para 2023, publicada el 27 de diciembre de 2022.</w:t>
                    </w:r>
                  </w:hyperlink>
                </w:p>
              </w:tc>
              <w:tc>
                <w:tcPr>
                  <w:tcW w:w="6" w:type="dxa"/>
                  <w:shd w:val="clear" w:color="auto" w:fill="FFFFFF"/>
                  <w:vAlign w:val="center"/>
                  <w:hideMark/>
                </w:tcPr>
                <w:p w14:paraId="14F0BEAE" w14:textId="77777777" w:rsidR="006A4C7F" w:rsidRPr="00CE62FF" w:rsidRDefault="006A4C7F" w:rsidP="0066117C">
                  <w:pPr>
                    <w:rPr>
                      <w:rFonts w:ascii="HelveticaNeueLT Std" w:hAnsi="HelveticaNeueLT Std"/>
                      <w:b/>
                      <w:bCs/>
                      <w:sz w:val="20"/>
                      <w:szCs w:val="20"/>
                    </w:rPr>
                  </w:pPr>
                </w:p>
              </w:tc>
            </w:tr>
            <w:tr w:rsidR="006A4C7F" w:rsidRPr="00CE62FF" w14:paraId="59FFC298" w14:textId="77777777" w:rsidTr="0066117C">
              <w:trPr>
                <w:trHeight w:val="180"/>
                <w:tblCellSpacing w:w="0" w:type="dxa"/>
              </w:trPr>
              <w:tc>
                <w:tcPr>
                  <w:tcW w:w="8832" w:type="dxa"/>
                  <w:shd w:val="clear" w:color="auto" w:fill="FFFFFF"/>
                  <w:hideMark/>
                </w:tcPr>
                <w:p w14:paraId="287672EA" w14:textId="28DE5678" w:rsidR="006A4C7F" w:rsidRPr="00CE62FF" w:rsidRDefault="006A4C7F" w:rsidP="0066117C">
                  <w:pPr>
                    <w:rPr>
                      <w:rFonts w:ascii="HelveticaNeueLT Std" w:hAnsi="HelveticaNeueLT Std" w:cs="Arial"/>
                      <w:color w:val="2F2F2F"/>
                      <w:sz w:val="20"/>
                      <w:szCs w:val="20"/>
                    </w:rPr>
                  </w:pPr>
                </w:p>
              </w:tc>
              <w:tc>
                <w:tcPr>
                  <w:tcW w:w="6" w:type="dxa"/>
                  <w:shd w:val="clear" w:color="auto" w:fill="FFFFFF"/>
                  <w:vAlign w:val="center"/>
                  <w:hideMark/>
                </w:tcPr>
                <w:p w14:paraId="63233D9E" w14:textId="77777777" w:rsidR="006A4C7F" w:rsidRPr="00CE62FF" w:rsidRDefault="006A4C7F" w:rsidP="0066117C">
                  <w:pPr>
                    <w:rPr>
                      <w:rFonts w:ascii="HelveticaNeueLT Std" w:hAnsi="HelveticaNeueLT Std"/>
                      <w:sz w:val="20"/>
                      <w:szCs w:val="20"/>
                    </w:rPr>
                  </w:pPr>
                </w:p>
              </w:tc>
            </w:tr>
          </w:tbl>
          <w:p w14:paraId="43D92626" w14:textId="77777777" w:rsidR="006A4C7F" w:rsidRPr="00CE62FF" w:rsidRDefault="006A4C7F" w:rsidP="0066117C">
            <w:pPr>
              <w:spacing w:line="276" w:lineRule="auto"/>
              <w:rPr>
                <w:rFonts w:ascii="HelveticaNeueLT Std" w:hAnsi="HelveticaNeueLT Std"/>
                <w:b/>
                <w:bCs/>
                <w:sz w:val="20"/>
                <w:szCs w:val="20"/>
              </w:rPr>
            </w:pPr>
          </w:p>
        </w:tc>
        <w:tc>
          <w:tcPr>
            <w:tcW w:w="5812" w:type="dxa"/>
            <w:tcBorders>
              <w:bottom w:val="nil"/>
            </w:tcBorders>
            <w:shd w:val="clear" w:color="auto" w:fill="auto"/>
          </w:tcPr>
          <w:p w14:paraId="7C994CFA" w14:textId="77777777" w:rsidR="006A4C7F" w:rsidRPr="00CE62FF" w:rsidRDefault="006A4C7F" w:rsidP="0066117C">
            <w:pPr>
              <w:pStyle w:val="Prrafodelista"/>
              <w:spacing w:line="276" w:lineRule="auto"/>
              <w:jc w:val="both"/>
              <w:rPr>
                <w:rFonts w:ascii="HelveticaNeueLT Std" w:hAnsi="HelveticaNeueLT Std" w:cs="Arial"/>
                <w:b/>
                <w:bCs/>
                <w:sz w:val="20"/>
                <w:szCs w:val="20"/>
              </w:rPr>
            </w:pPr>
          </w:p>
        </w:tc>
      </w:tr>
      <w:tr w:rsidR="000500D0" w:rsidRPr="00CE62FF" w14:paraId="2BC018A5" w14:textId="77777777" w:rsidTr="00A66E1A">
        <w:tc>
          <w:tcPr>
            <w:tcW w:w="617" w:type="dxa"/>
            <w:tcBorders>
              <w:top w:val="nil"/>
              <w:bottom w:val="nil"/>
            </w:tcBorders>
            <w:shd w:val="clear" w:color="auto" w:fill="auto"/>
          </w:tcPr>
          <w:p w14:paraId="4F4E2303" w14:textId="2D09E353" w:rsidR="000500D0" w:rsidRPr="00CE62FF" w:rsidRDefault="000500D0" w:rsidP="0066117C">
            <w:pPr>
              <w:spacing w:line="276" w:lineRule="auto"/>
              <w:jc w:val="center"/>
              <w:rPr>
                <w:rFonts w:ascii="HelveticaNeueLT Std" w:hAnsi="HelveticaNeueLT Std" w:cs="Arial"/>
                <w:b/>
                <w:bCs/>
                <w:sz w:val="20"/>
                <w:szCs w:val="20"/>
              </w:rPr>
            </w:pPr>
            <w:bookmarkStart w:id="0" w:name="_GoBack" w:colFirst="1" w:colLast="4"/>
          </w:p>
        </w:tc>
        <w:tc>
          <w:tcPr>
            <w:tcW w:w="2127" w:type="dxa"/>
            <w:tcBorders>
              <w:top w:val="nil"/>
              <w:bottom w:val="nil"/>
            </w:tcBorders>
            <w:shd w:val="clear" w:color="auto" w:fill="auto"/>
          </w:tcPr>
          <w:p w14:paraId="03A1F745" w14:textId="2607E3C0" w:rsidR="000500D0" w:rsidRPr="00CE62FF" w:rsidRDefault="000500D0" w:rsidP="00A443B2">
            <w:pPr>
              <w:spacing w:line="276" w:lineRule="auto"/>
              <w:jc w:val="center"/>
              <w:rPr>
                <w:rFonts w:ascii="HelveticaNeueLT Std" w:hAnsi="HelveticaNeueLT Std" w:cs="Arial"/>
                <w:b/>
                <w:bCs/>
                <w:sz w:val="20"/>
                <w:szCs w:val="20"/>
              </w:rPr>
            </w:pPr>
          </w:p>
        </w:tc>
        <w:tc>
          <w:tcPr>
            <w:tcW w:w="2693" w:type="dxa"/>
            <w:tcBorders>
              <w:top w:val="nil"/>
              <w:bottom w:val="nil"/>
            </w:tcBorders>
            <w:shd w:val="clear" w:color="auto" w:fill="auto"/>
          </w:tcPr>
          <w:p w14:paraId="1ADD74E0" w14:textId="743225F4" w:rsidR="000500D0" w:rsidRPr="00CE62FF" w:rsidRDefault="000500D0" w:rsidP="000500D0">
            <w:pPr>
              <w:jc w:val="center"/>
              <w:rPr>
                <w:rFonts w:ascii="HelveticaNeueLT Std" w:hAnsi="HelveticaNeueLT Std" w:cs="Arial"/>
                <w:b/>
                <w:bCs/>
                <w:sz w:val="20"/>
                <w:szCs w:val="20"/>
              </w:rPr>
            </w:pPr>
            <w:r w:rsidRPr="00CE62FF">
              <w:rPr>
                <w:rFonts w:ascii="HelveticaNeueLT Std" w:hAnsi="HelveticaNeueLT Std" w:cs="Arial"/>
                <w:b/>
                <w:bCs/>
                <w:sz w:val="20"/>
                <w:szCs w:val="20"/>
              </w:rPr>
              <w:t>Instituto Nacional de Estadística y Geografía</w:t>
            </w:r>
          </w:p>
          <w:p w14:paraId="148FA03B" w14:textId="77777777" w:rsidR="000500D0" w:rsidRPr="00CE62FF" w:rsidRDefault="000500D0">
            <w:pPr>
              <w:rPr>
                <w:rFonts w:ascii="HelveticaNeueLT Std" w:hAnsi="HelveticaNeueLT Std"/>
                <w:sz w:val="20"/>
                <w:szCs w:val="20"/>
              </w:rPr>
            </w:pP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533"/>
              <w:gridCol w:w="20"/>
            </w:tblGrid>
            <w:tr w:rsidR="000500D0" w:rsidRPr="00CE62FF" w14:paraId="27C1414D" w14:textId="77777777" w:rsidTr="000500D0">
              <w:trPr>
                <w:tblCellSpacing w:w="0" w:type="dxa"/>
              </w:trPr>
              <w:tc>
                <w:tcPr>
                  <w:tcW w:w="2533" w:type="dxa"/>
                  <w:shd w:val="clear" w:color="auto" w:fill="FFFFFF"/>
                  <w:vAlign w:val="center"/>
                  <w:hideMark/>
                </w:tcPr>
                <w:p w14:paraId="217294F7" w14:textId="014CDCBB" w:rsidR="000500D0" w:rsidRPr="00CE62FF" w:rsidRDefault="000500D0" w:rsidP="000500D0">
                  <w:pPr>
                    <w:jc w:val="center"/>
                    <w:rPr>
                      <w:rFonts w:ascii="HelveticaNeueLT Std" w:hAnsi="HelveticaNeueLT Std" w:cs="Arial"/>
                      <w:color w:val="2F2F2F"/>
                      <w:sz w:val="20"/>
                      <w:szCs w:val="20"/>
                      <w:lang w:eastAsia="es-MX"/>
                    </w:rPr>
                  </w:pPr>
                </w:p>
              </w:tc>
              <w:tc>
                <w:tcPr>
                  <w:tcW w:w="20" w:type="dxa"/>
                  <w:shd w:val="clear" w:color="auto" w:fill="FFFFFF"/>
                  <w:vAlign w:val="center"/>
                  <w:hideMark/>
                </w:tcPr>
                <w:p w14:paraId="43C99761" w14:textId="77777777" w:rsidR="000500D0" w:rsidRPr="00CE62FF" w:rsidRDefault="000500D0" w:rsidP="000500D0">
                  <w:pPr>
                    <w:rPr>
                      <w:rFonts w:ascii="HelveticaNeueLT Std" w:hAnsi="HelveticaNeueLT Std" w:cs="Arial"/>
                      <w:color w:val="2F2F2F"/>
                      <w:sz w:val="20"/>
                      <w:szCs w:val="20"/>
                    </w:rPr>
                  </w:pPr>
                </w:p>
              </w:tc>
            </w:tr>
            <w:tr w:rsidR="000500D0" w:rsidRPr="00CE62FF" w14:paraId="3DC08AB6" w14:textId="77777777" w:rsidTr="000500D0">
              <w:trPr>
                <w:trHeight w:val="180"/>
                <w:tblCellSpacing w:w="0" w:type="dxa"/>
              </w:trPr>
              <w:tc>
                <w:tcPr>
                  <w:tcW w:w="2533" w:type="dxa"/>
                  <w:shd w:val="clear" w:color="auto" w:fill="FFFFFF"/>
                  <w:hideMark/>
                </w:tcPr>
                <w:p w14:paraId="3BF2F161" w14:textId="1A231FAE" w:rsidR="000500D0" w:rsidRPr="00CE62FF" w:rsidRDefault="000500D0" w:rsidP="000500D0">
                  <w:pPr>
                    <w:rPr>
                      <w:rFonts w:ascii="HelveticaNeueLT Std" w:hAnsi="HelveticaNeueLT Std" w:cs="Arial"/>
                      <w:color w:val="2F2F2F"/>
                      <w:sz w:val="20"/>
                      <w:szCs w:val="20"/>
                    </w:rPr>
                  </w:pPr>
                  <w:r w:rsidRPr="00CE62FF">
                    <w:rPr>
                      <w:rFonts w:ascii="HelveticaNeueLT Std" w:hAnsi="HelveticaNeueLT Std" w:cs="Arial"/>
                      <w:noProof/>
                      <w:color w:val="2F2F2F"/>
                      <w:sz w:val="20"/>
                      <w:szCs w:val="20"/>
                      <w:lang w:eastAsia="es-MX"/>
                    </w:rPr>
                    <w:drawing>
                      <wp:inline distT="0" distB="0" distL="0" distR="0" wp14:anchorId="70705B7C" wp14:editId="1BE0CCF2">
                        <wp:extent cx="95250" cy="114300"/>
                        <wp:effectExtent l="0" t="0" r="0" b="0"/>
                        <wp:docPr id="3"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c>
                <w:tcPr>
                  <w:tcW w:w="20" w:type="dxa"/>
                  <w:shd w:val="clear" w:color="auto" w:fill="FFFFFF"/>
                  <w:vAlign w:val="center"/>
                  <w:hideMark/>
                </w:tcPr>
                <w:p w14:paraId="7222D7DF" w14:textId="77777777" w:rsidR="000500D0" w:rsidRPr="00CE62FF" w:rsidRDefault="000500D0" w:rsidP="000500D0">
                  <w:pPr>
                    <w:rPr>
                      <w:rFonts w:ascii="HelveticaNeueLT Std" w:hAnsi="HelveticaNeueLT Std"/>
                      <w:sz w:val="20"/>
                      <w:szCs w:val="20"/>
                    </w:rPr>
                  </w:pPr>
                </w:p>
              </w:tc>
            </w:tr>
          </w:tbl>
          <w:p w14:paraId="7797C8FC" w14:textId="77777777" w:rsidR="000500D0" w:rsidRPr="00CE62FF" w:rsidRDefault="000500D0" w:rsidP="0066117C">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977" w:type="dxa"/>
            <w:tcBorders>
              <w:top w:val="nil"/>
              <w:bottom w:val="nil"/>
            </w:tcBorders>
            <w:shd w:val="clear" w:color="auto" w:fill="auto"/>
          </w:tcPr>
          <w:p w14:paraId="15067139" w14:textId="2BC7035F" w:rsidR="000500D0" w:rsidRPr="00CE62FF" w:rsidRDefault="00172907" w:rsidP="006A4C7F">
            <w:pPr>
              <w:jc w:val="both"/>
              <w:rPr>
                <w:rFonts w:ascii="HelveticaNeueLT Std" w:hAnsi="HelveticaNeueLT Std"/>
                <w:sz w:val="20"/>
                <w:szCs w:val="20"/>
              </w:rPr>
            </w:pPr>
            <w:hyperlink r:id="rId10" w:history="1">
              <w:r w:rsidR="000500D0" w:rsidRPr="00CE62FF">
                <w:rPr>
                  <w:rFonts w:ascii="HelveticaNeueLT Std" w:hAnsi="HelveticaNeueLT Std"/>
                  <w:b/>
                  <w:bCs/>
                  <w:sz w:val="20"/>
                  <w:szCs w:val="20"/>
                </w:rPr>
                <w:t>Unidad de medida y actualización.</w:t>
              </w:r>
            </w:hyperlink>
          </w:p>
        </w:tc>
        <w:tc>
          <w:tcPr>
            <w:tcW w:w="5812" w:type="dxa"/>
            <w:tcBorders>
              <w:top w:val="nil"/>
              <w:bottom w:val="nil"/>
            </w:tcBorders>
            <w:shd w:val="clear" w:color="auto" w:fill="auto"/>
          </w:tcPr>
          <w:p w14:paraId="33324CFB" w14:textId="5A235407" w:rsidR="000500D0" w:rsidRPr="00CE62FF" w:rsidRDefault="000500D0" w:rsidP="000500D0">
            <w:pPr>
              <w:spacing w:line="276" w:lineRule="auto"/>
              <w:jc w:val="both"/>
              <w:rPr>
                <w:rFonts w:ascii="HelveticaNeueLT Std" w:hAnsi="HelveticaNeueLT Std" w:cs="Arial"/>
                <w:b/>
                <w:bCs/>
                <w:sz w:val="20"/>
                <w:szCs w:val="20"/>
              </w:rPr>
            </w:pPr>
            <w:r w:rsidRPr="00CE62FF">
              <w:rPr>
                <w:rFonts w:ascii="HelveticaNeueLT Std" w:hAnsi="HelveticaNeueLT Std" w:cs="Arial"/>
                <w:color w:val="2F2F2F"/>
                <w:sz w:val="20"/>
                <w:szCs w:val="20"/>
                <w:shd w:val="clear" w:color="auto" w:fill="FFFFFF"/>
              </w:rPr>
              <w:t>El Instituto Nacional de Estadística y Geografía da a conocer que el valor diario de la Unidad de Medida y Actualización es de $103.74 pesos mexicanos, el mensual es de $3,153.70 pesos mexicanos y el valor anual $37,844.40 pesos mexicanos, los cuales estarán vigentes a partir del 1º de febrero de 2023.</w:t>
            </w:r>
          </w:p>
        </w:tc>
      </w:tr>
      <w:bookmarkEnd w:id="0"/>
      <w:tr w:rsidR="006A4C7F" w:rsidRPr="00CE62FF" w14:paraId="14878332" w14:textId="77777777" w:rsidTr="00A66E1A">
        <w:tc>
          <w:tcPr>
            <w:tcW w:w="617" w:type="dxa"/>
            <w:tcBorders>
              <w:top w:val="nil"/>
              <w:bottom w:val="nil"/>
            </w:tcBorders>
            <w:shd w:val="clear" w:color="auto" w:fill="auto"/>
          </w:tcPr>
          <w:p w14:paraId="612B80FE" w14:textId="2965552B" w:rsidR="006A4C7F" w:rsidRPr="00CE62FF" w:rsidRDefault="006A4C7F" w:rsidP="006A4C7F">
            <w:pPr>
              <w:spacing w:line="276" w:lineRule="auto"/>
              <w:jc w:val="center"/>
              <w:rPr>
                <w:rFonts w:ascii="HelveticaNeueLT Std" w:hAnsi="HelveticaNeueLT Std" w:cs="Arial"/>
                <w:b/>
                <w:bCs/>
                <w:sz w:val="20"/>
                <w:szCs w:val="20"/>
              </w:rPr>
            </w:pPr>
            <w:r w:rsidRPr="00CE62FF">
              <w:rPr>
                <w:rFonts w:ascii="HelveticaNeueLT Std" w:hAnsi="HelveticaNeueLT Std" w:cs="Arial"/>
                <w:b/>
                <w:bCs/>
                <w:sz w:val="20"/>
                <w:szCs w:val="20"/>
              </w:rPr>
              <w:t>10</w:t>
            </w:r>
          </w:p>
        </w:tc>
        <w:tc>
          <w:tcPr>
            <w:tcW w:w="2127" w:type="dxa"/>
            <w:tcBorders>
              <w:top w:val="nil"/>
              <w:bottom w:val="nil"/>
            </w:tcBorders>
            <w:shd w:val="clear" w:color="auto" w:fill="auto"/>
          </w:tcPr>
          <w:p w14:paraId="239D4EA4" w14:textId="77777777" w:rsidR="006A4C7F" w:rsidRDefault="006A4C7F" w:rsidP="00A443B2">
            <w:pPr>
              <w:spacing w:line="276" w:lineRule="auto"/>
              <w:jc w:val="center"/>
              <w:rPr>
                <w:rFonts w:ascii="HelveticaNeueLT Std" w:hAnsi="HelveticaNeueLT Std" w:cs="Arial"/>
                <w:b/>
                <w:bCs/>
                <w:sz w:val="20"/>
                <w:szCs w:val="20"/>
              </w:rPr>
            </w:pPr>
            <w:r w:rsidRPr="00CE62FF">
              <w:rPr>
                <w:rFonts w:ascii="HelveticaNeueLT Std" w:hAnsi="HelveticaNeueLT Std" w:cs="Arial"/>
                <w:b/>
                <w:bCs/>
                <w:sz w:val="20"/>
                <w:szCs w:val="20"/>
              </w:rPr>
              <w:t>11-enero-202</w:t>
            </w:r>
            <w:r w:rsidR="00A443B2" w:rsidRPr="00CE62FF">
              <w:rPr>
                <w:rFonts w:ascii="HelveticaNeueLT Std" w:hAnsi="HelveticaNeueLT Std" w:cs="Arial"/>
                <w:b/>
                <w:bCs/>
                <w:sz w:val="20"/>
                <w:szCs w:val="20"/>
              </w:rPr>
              <w:t>3</w:t>
            </w:r>
          </w:p>
          <w:p w14:paraId="5D006DEF" w14:textId="1258A8BC" w:rsidR="00AD2F15" w:rsidRPr="00CE62FF" w:rsidRDefault="00AD2F15" w:rsidP="00A443B2">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Única Sección</w:t>
            </w:r>
          </w:p>
        </w:tc>
        <w:tc>
          <w:tcPr>
            <w:tcW w:w="2693" w:type="dxa"/>
            <w:tcBorders>
              <w:top w:val="nil"/>
              <w:bottom w:val="nil"/>
            </w:tcBorders>
            <w:shd w:val="clear" w:color="auto" w:fill="auto"/>
          </w:tcPr>
          <w:p w14:paraId="04B3F4AC" w14:textId="77777777" w:rsidR="006A4C7F" w:rsidRPr="00CE62FF" w:rsidRDefault="006A4C7F" w:rsidP="006A4C7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CE62FF">
              <w:rPr>
                <w:rFonts w:ascii="HelveticaNeueLT Std" w:eastAsia="MS Mincho" w:hAnsi="HelveticaNeueLT Std"/>
                <w:bCs/>
                <w:sz w:val="20"/>
                <w:szCs w:val="20"/>
                <w:lang w:eastAsia="en-US"/>
              </w:rPr>
              <w:t>Poder Ejecutivo Federal</w:t>
            </w:r>
          </w:p>
          <w:p w14:paraId="06BE0EFA" w14:textId="77777777" w:rsidR="006A4C7F" w:rsidRPr="00CE62FF" w:rsidRDefault="006A4C7F" w:rsidP="006A4C7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00D8ADB1" w14:textId="77777777" w:rsidR="006A4C7F" w:rsidRPr="00CE62FF" w:rsidRDefault="006A4C7F" w:rsidP="006A4C7F">
            <w:pPr>
              <w:pStyle w:val="Titulo1"/>
              <w:pBdr>
                <w:bottom w:val="none" w:sz="0" w:space="0" w:color="auto"/>
              </w:pBdr>
              <w:spacing w:before="0" w:line="276" w:lineRule="auto"/>
              <w:jc w:val="center"/>
              <w:rPr>
                <w:rFonts w:ascii="HelveticaNeueLT Std" w:eastAsia="MS Mincho" w:hAnsi="HelveticaNeueLT Std" w:cs="Times New Roman"/>
                <w:bCs/>
                <w:sz w:val="20"/>
                <w:szCs w:val="20"/>
                <w:lang w:eastAsia="en-US"/>
              </w:rPr>
            </w:pPr>
            <w:r w:rsidRPr="00CE62FF">
              <w:rPr>
                <w:rFonts w:ascii="HelveticaNeueLT Std" w:eastAsia="MS Mincho" w:hAnsi="HelveticaNeueLT Std" w:cs="Times New Roman"/>
                <w:bCs/>
                <w:sz w:val="20"/>
                <w:szCs w:val="20"/>
                <w:lang w:eastAsia="en-US"/>
              </w:rPr>
              <w:t>Secretaria de Hacienda y Crédito. Público</w:t>
            </w:r>
          </w:p>
          <w:p w14:paraId="7486459C" w14:textId="44300265" w:rsidR="006A4C7F" w:rsidRPr="00CE62FF" w:rsidRDefault="006A4C7F" w:rsidP="006A4C7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977" w:type="dxa"/>
            <w:tcBorders>
              <w:top w:val="nil"/>
              <w:bottom w:val="nil"/>
            </w:tcBorders>
            <w:shd w:val="clear" w:color="auto" w:fill="auto"/>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6A4C7F" w:rsidRPr="00CE62FF" w14:paraId="3BB07CBC" w14:textId="77777777" w:rsidTr="00EC7A43">
              <w:trPr>
                <w:tblCellSpacing w:w="0" w:type="dxa"/>
              </w:trPr>
              <w:tc>
                <w:tcPr>
                  <w:tcW w:w="8832" w:type="dxa"/>
                  <w:shd w:val="clear" w:color="auto" w:fill="FFFFFF"/>
                  <w:vAlign w:val="center"/>
                  <w:hideMark/>
                </w:tcPr>
                <w:p w14:paraId="7EBFF6E3" w14:textId="77777777" w:rsidR="006A4C7F" w:rsidRPr="00CE62FF" w:rsidRDefault="00172907" w:rsidP="006A4C7F">
                  <w:pPr>
                    <w:rPr>
                      <w:rFonts w:ascii="HelveticaNeueLT Std" w:hAnsi="HelveticaNeueLT Std" w:cs="Arial"/>
                      <w:color w:val="2F2F2F"/>
                      <w:sz w:val="20"/>
                      <w:szCs w:val="20"/>
                      <w:lang w:eastAsia="es-MX"/>
                    </w:rPr>
                  </w:pPr>
                  <w:hyperlink r:id="rId11" w:history="1">
                    <w:r w:rsidR="006A4C7F" w:rsidRPr="00CE62FF">
                      <w:rPr>
                        <w:rFonts w:ascii="HelveticaNeueLT Std" w:hAnsi="HelveticaNeueLT Std"/>
                        <w:b/>
                        <w:bCs/>
                        <w:sz w:val="20"/>
                        <w:szCs w:val="20"/>
                      </w:rPr>
                      <w:t>Anexo 14 de la Resolución Miscelánea Fiscal para 2023, publicada el 27 de diciembre de 2022.</w:t>
                    </w:r>
                  </w:hyperlink>
                </w:p>
              </w:tc>
              <w:tc>
                <w:tcPr>
                  <w:tcW w:w="6" w:type="dxa"/>
                  <w:shd w:val="clear" w:color="auto" w:fill="FFFFFF"/>
                  <w:vAlign w:val="center"/>
                  <w:hideMark/>
                </w:tcPr>
                <w:p w14:paraId="256F58DA" w14:textId="77777777" w:rsidR="006A4C7F" w:rsidRPr="00CE62FF" w:rsidRDefault="006A4C7F" w:rsidP="006A4C7F">
                  <w:pPr>
                    <w:rPr>
                      <w:rFonts w:ascii="HelveticaNeueLT Std" w:hAnsi="HelveticaNeueLT Std" w:cs="Arial"/>
                      <w:color w:val="2F2F2F"/>
                      <w:sz w:val="20"/>
                      <w:szCs w:val="20"/>
                    </w:rPr>
                  </w:pPr>
                </w:p>
              </w:tc>
            </w:tr>
            <w:tr w:rsidR="006A4C7F" w:rsidRPr="00CE62FF" w14:paraId="4F88740A" w14:textId="77777777" w:rsidTr="00EC7A43">
              <w:trPr>
                <w:trHeight w:val="180"/>
                <w:tblCellSpacing w:w="0" w:type="dxa"/>
              </w:trPr>
              <w:tc>
                <w:tcPr>
                  <w:tcW w:w="8832" w:type="dxa"/>
                  <w:shd w:val="clear" w:color="auto" w:fill="FFFFFF"/>
                  <w:hideMark/>
                </w:tcPr>
                <w:p w14:paraId="7CAE1475" w14:textId="6A42B230" w:rsidR="006A4C7F" w:rsidRPr="00CE62FF" w:rsidRDefault="006A4C7F" w:rsidP="006A4C7F">
                  <w:pPr>
                    <w:rPr>
                      <w:rFonts w:ascii="HelveticaNeueLT Std" w:hAnsi="HelveticaNeueLT Std" w:cs="Arial"/>
                      <w:color w:val="2F2F2F"/>
                      <w:sz w:val="20"/>
                      <w:szCs w:val="20"/>
                    </w:rPr>
                  </w:pPr>
                </w:p>
              </w:tc>
              <w:tc>
                <w:tcPr>
                  <w:tcW w:w="6" w:type="dxa"/>
                  <w:shd w:val="clear" w:color="auto" w:fill="FFFFFF"/>
                  <w:vAlign w:val="center"/>
                  <w:hideMark/>
                </w:tcPr>
                <w:p w14:paraId="3D53B661" w14:textId="77777777" w:rsidR="006A4C7F" w:rsidRPr="00CE62FF" w:rsidRDefault="006A4C7F" w:rsidP="006A4C7F">
                  <w:pPr>
                    <w:pStyle w:val="Prrafodelista"/>
                    <w:numPr>
                      <w:ilvl w:val="0"/>
                      <w:numId w:val="38"/>
                    </w:numPr>
                    <w:rPr>
                      <w:rFonts w:ascii="HelveticaNeueLT Std" w:hAnsi="HelveticaNeueLT Std"/>
                      <w:sz w:val="20"/>
                      <w:szCs w:val="20"/>
                    </w:rPr>
                  </w:pPr>
                </w:p>
              </w:tc>
            </w:tr>
          </w:tbl>
          <w:p w14:paraId="5E295F11" w14:textId="77777777" w:rsidR="006A4C7F" w:rsidRPr="00CE62FF" w:rsidRDefault="006A4C7F" w:rsidP="006A4C7F">
            <w:pPr>
              <w:jc w:val="both"/>
              <w:rPr>
                <w:rFonts w:ascii="HelveticaNeueLT Std" w:hAnsi="HelveticaNeueLT Std"/>
                <w:b/>
                <w:bCs/>
                <w:sz w:val="20"/>
                <w:szCs w:val="20"/>
              </w:rPr>
            </w:pPr>
          </w:p>
        </w:tc>
        <w:tc>
          <w:tcPr>
            <w:tcW w:w="5812" w:type="dxa"/>
            <w:tcBorders>
              <w:top w:val="nil"/>
              <w:bottom w:val="nil"/>
            </w:tcBorders>
            <w:shd w:val="clear" w:color="auto" w:fill="auto"/>
          </w:tcPr>
          <w:p w14:paraId="7430F081" w14:textId="77777777" w:rsidR="006A4C7F" w:rsidRPr="00CE62FF" w:rsidRDefault="006A4C7F" w:rsidP="006A4C7F">
            <w:pPr>
              <w:pStyle w:val="Prrafodelista"/>
              <w:spacing w:line="276" w:lineRule="auto"/>
              <w:jc w:val="both"/>
              <w:rPr>
                <w:rFonts w:ascii="HelveticaNeueLT Std" w:hAnsi="HelveticaNeueLT Std" w:cs="Arial"/>
                <w:b/>
                <w:bCs/>
                <w:sz w:val="20"/>
                <w:szCs w:val="20"/>
              </w:rPr>
            </w:pPr>
          </w:p>
        </w:tc>
      </w:tr>
      <w:tr w:rsidR="00A66E1A" w:rsidRPr="00CE62FF" w14:paraId="4EEA48FF" w14:textId="77777777" w:rsidTr="00A66E1A">
        <w:tc>
          <w:tcPr>
            <w:tcW w:w="617" w:type="dxa"/>
            <w:tcBorders>
              <w:top w:val="nil"/>
              <w:bottom w:val="single" w:sz="4" w:space="0" w:color="auto"/>
            </w:tcBorders>
            <w:shd w:val="clear" w:color="auto" w:fill="auto"/>
          </w:tcPr>
          <w:p w14:paraId="66A9744A" w14:textId="092F5EFF" w:rsidR="00A66E1A" w:rsidRPr="00CE62FF" w:rsidRDefault="00A66E1A" w:rsidP="00A66E1A">
            <w:pPr>
              <w:spacing w:line="276" w:lineRule="auto"/>
              <w:jc w:val="center"/>
              <w:rPr>
                <w:rFonts w:ascii="HelveticaNeueLT Std" w:hAnsi="HelveticaNeueLT Std" w:cs="Arial"/>
                <w:b/>
                <w:bCs/>
                <w:sz w:val="20"/>
                <w:szCs w:val="20"/>
              </w:rPr>
            </w:pPr>
            <w:r w:rsidRPr="00CE62FF">
              <w:rPr>
                <w:rFonts w:ascii="HelveticaNeueLT Std" w:hAnsi="HelveticaNeueLT Std" w:cs="Arial"/>
                <w:b/>
                <w:bCs/>
                <w:sz w:val="20"/>
                <w:szCs w:val="20"/>
              </w:rPr>
              <w:t>11</w:t>
            </w:r>
          </w:p>
        </w:tc>
        <w:tc>
          <w:tcPr>
            <w:tcW w:w="2127" w:type="dxa"/>
            <w:tcBorders>
              <w:top w:val="nil"/>
              <w:bottom w:val="single" w:sz="4" w:space="0" w:color="auto"/>
            </w:tcBorders>
            <w:shd w:val="clear" w:color="auto" w:fill="auto"/>
          </w:tcPr>
          <w:p w14:paraId="20E5B004" w14:textId="77777777" w:rsidR="00A66E1A" w:rsidRDefault="00A66E1A" w:rsidP="00A66E1A">
            <w:pPr>
              <w:spacing w:line="276" w:lineRule="auto"/>
              <w:jc w:val="center"/>
              <w:rPr>
                <w:rFonts w:ascii="HelveticaNeueLT Std" w:hAnsi="HelveticaNeueLT Std" w:cs="Arial"/>
                <w:b/>
                <w:bCs/>
                <w:sz w:val="20"/>
                <w:szCs w:val="20"/>
              </w:rPr>
            </w:pPr>
            <w:r w:rsidRPr="00CE62FF">
              <w:rPr>
                <w:rFonts w:ascii="HelveticaNeueLT Std" w:hAnsi="HelveticaNeueLT Std" w:cs="Arial"/>
                <w:b/>
                <w:bCs/>
                <w:sz w:val="20"/>
                <w:szCs w:val="20"/>
              </w:rPr>
              <w:t>12-enero-2023</w:t>
            </w:r>
          </w:p>
          <w:p w14:paraId="0DDF36E4" w14:textId="184DD5A2" w:rsidR="00AD2F15" w:rsidRPr="00CE62FF" w:rsidRDefault="00AD2F15" w:rsidP="00A66E1A">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Única Sección</w:t>
            </w:r>
          </w:p>
        </w:tc>
        <w:tc>
          <w:tcPr>
            <w:tcW w:w="2693" w:type="dxa"/>
            <w:tcBorders>
              <w:top w:val="nil"/>
              <w:bottom w:val="single" w:sz="4" w:space="0" w:color="auto"/>
            </w:tcBorders>
            <w:shd w:val="clear" w:color="auto" w:fill="auto"/>
          </w:tcPr>
          <w:p w14:paraId="598D151B" w14:textId="77777777" w:rsidR="00A66E1A" w:rsidRPr="00CE62FF" w:rsidRDefault="00A66E1A" w:rsidP="00A66E1A">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CE62FF">
              <w:rPr>
                <w:rFonts w:ascii="HelveticaNeueLT Std" w:eastAsia="MS Mincho" w:hAnsi="HelveticaNeueLT Std"/>
                <w:bCs/>
                <w:sz w:val="20"/>
                <w:szCs w:val="20"/>
                <w:lang w:eastAsia="en-US"/>
              </w:rPr>
              <w:t>Poder Ejecutivo Federal</w:t>
            </w:r>
          </w:p>
          <w:p w14:paraId="146F938A" w14:textId="77777777" w:rsidR="00A66E1A" w:rsidRPr="00CE62FF" w:rsidRDefault="00A66E1A" w:rsidP="00A66E1A">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474993E8" w14:textId="177BC9BC" w:rsidR="00A66E1A" w:rsidRPr="00CE62FF" w:rsidRDefault="00A66E1A" w:rsidP="00A66E1A">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CE62FF">
              <w:rPr>
                <w:rFonts w:ascii="HelveticaNeueLT Std" w:eastAsia="MS Mincho" w:hAnsi="HelveticaNeueLT Std" w:cs="Times New Roman"/>
                <w:bCs/>
                <w:sz w:val="20"/>
                <w:szCs w:val="20"/>
                <w:lang w:eastAsia="en-US"/>
              </w:rPr>
              <w:t>Secretaria de Bienestar</w:t>
            </w:r>
          </w:p>
        </w:tc>
        <w:tc>
          <w:tcPr>
            <w:tcW w:w="2977" w:type="dxa"/>
            <w:tcBorders>
              <w:top w:val="nil"/>
              <w:bottom w:val="single" w:sz="4" w:space="0" w:color="auto"/>
            </w:tcBorders>
            <w:shd w:val="clear" w:color="auto" w:fill="auto"/>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A66E1A" w:rsidRPr="00CE62FF" w14:paraId="5A5EB9B1" w14:textId="77777777" w:rsidTr="008D57F7">
              <w:trPr>
                <w:tblCellSpacing w:w="0" w:type="dxa"/>
              </w:trPr>
              <w:tc>
                <w:tcPr>
                  <w:tcW w:w="8832" w:type="dxa"/>
                  <w:shd w:val="clear" w:color="auto" w:fill="FFFFFF"/>
                  <w:vAlign w:val="center"/>
                  <w:hideMark/>
                </w:tcPr>
                <w:p w14:paraId="02F6F868" w14:textId="77777777" w:rsidR="00A66E1A" w:rsidRPr="00CE62FF" w:rsidRDefault="00172907" w:rsidP="00A66E1A">
                  <w:pPr>
                    <w:rPr>
                      <w:rFonts w:ascii="HelveticaNeueLT Std" w:hAnsi="HelveticaNeueLT Std" w:cs="Arial"/>
                      <w:color w:val="2F2F2F"/>
                      <w:sz w:val="20"/>
                      <w:szCs w:val="20"/>
                      <w:lang w:eastAsia="es-MX"/>
                    </w:rPr>
                  </w:pPr>
                  <w:hyperlink r:id="rId12" w:history="1">
                    <w:r w:rsidR="00A66E1A" w:rsidRPr="00CE62FF">
                      <w:rPr>
                        <w:rFonts w:ascii="HelveticaNeueLT Std" w:hAnsi="HelveticaNeueLT Std"/>
                        <w:b/>
                        <w:bCs/>
                        <w:sz w:val="20"/>
                        <w:szCs w:val="20"/>
                      </w:rPr>
                      <w:t>Acuerdo por el que se emiten los Lineamientos del Fondo de Aportaciones para la Infraestructura Social.</w:t>
                    </w:r>
                  </w:hyperlink>
                </w:p>
              </w:tc>
              <w:tc>
                <w:tcPr>
                  <w:tcW w:w="6" w:type="dxa"/>
                  <w:shd w:val="clear" w:color="auto" w:fill="FFFFFF"/>
                  <w:vAlign w:val="center"/>
                  <w:hideMark/>
                </w:tcPr>
                <w:p w14:paraId="57A46FB8" w14:textId="77777777" w:rsidR="00A66E1A" w:rsidRPr="00CE62FF" w:rsidRDefault="00A66E1A" w:rsidP="00A66E1A">
                  <w:pPr>
                    <w:rPr>
                      <w:rFonts w:ascii="HelveticaNeueLT Std" w:hAnsi="HelveticaNeueLT Std" w:cs="Arial"/>
                      <w:color w:val="2F2F2F"/>
                      <w:sz w:val="20"/>
                      <w:szCs w:val="20"/>
                    </w:rPr>
                  </w:pPr>
                </w:p>
              </w:tc>
            </w:tr>
            <w:tr w:rsidR="00A66E1A" w:rsidRPr="00CE62FF" w14:paraId="079C9E3C" w14:textId="77777777" w:rsidTr="008D57F7">
              <w:trPr>
                <w:trHeight w:val="180"/>
                <w:tblCellSpacing w:w="0" w:type="dxa"/>
              </w:trPr>
              <w:tc>
                <w:tcPr>
                  <w:tcW w:w="8832" w:type="dxa"/>
                  <w:shd w:val="clear" w:color="auto" w:fill="FFFFFF"/>
                  <w:hideMark/>
                </w:tcPr>
                <w:p w14:paraId="7F068F97" w14:textId="77777777" w:rsidR="00A66E1A" w:rsidRPr="00CE62FF" w:rsidRDefault="00A66E1A" w:rsidP="00A66E1A">
                  <w:pPr>
                    <w:rPr>
                      <w:rFonts w:ascii="HelveticaNeueLT Std" w:hAnsi="HelveticaNeueLT Std" w:cs="Arial"/>
                      <w:color w:val="2F2F2F"/>
                      <w:sz w:val="20"/>
                      <w:szCs w:val="20"/>
                    </w:rPr>
                  </w:pPr>
                  <w:r w:rsidRPr="00CE62FF">
                    <w:rPr>
                      <w:rFonts w:ascii="HelveticaNeueLT Std" w:hAnsi="HelveticaNeueLT Std" w:cs="Arial"/>
                      <w:noProof/>
                      <w:color w:val="2F2F2F"/>
                      <w:sz w:val="20"/>
                      <w:szCs w:val="20"/>
                      <w:lang w:eastAsia="es-MX"/>
                    </w:rPr>
                    <w:drawing>
                      <wp:inline distT="0" distB="0" distL="0" distR="0" wp14:anchorId="1E6F164D" wp14:editId="26B74BC9">
                        <wp:extent cx="94615" cy="115570"/>
                        <wp:effectExtent l="0" t="0" r="0" b="0"/>
                        <wp:docPr id="6"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15" cy="115570"/>
                                </a:xfrm>
                                <a:prstGeom prst="rect">
                                  <a:avLst/>
                                </a:prstGeom>
                                <a:noFill/>
                                <a:ln>
                                  <a:noFill/>
                                </a:ln>
                              </pic:spPr>
                            </pic:pic>
                          </a:graphicData>
                        </a:graphic>
                      </wp:inline>
                    </w:drawing>
                  </w:r>
                </w:p>
              </w:tc>
              <w:tc>
                <w:tcPr>
                  <w:tcW w:w="6" w:type="dxa"/>
                  <w:shd w:val="clear" w:color="auto" w:fill="FFFFFF"/>
                  <w:vAlign w:val="center"/>
                  <w:hideMark/>
                </w:tcPr>
                <w:p w14:paraId="39BFA152" w14:textId="77777777" w:rsidR="00A66E1A" w:rsidRPr="00CE62FF" w:rsidRDefault="00A66E1A" w:rsidP="00A66E1A">
                  <w:pPr>
                    <w:rPr>
                      <w:rFonts w:ascii="HelveticaNeueLT Std" w:hAnsi="HelveticaNeueLT Std"/>
                      <w:sz w:val="20"/>
                      <w:szCs w:val="20"/>
                    </w:rPr>
                  </w:pPr>
                </w:p>
              </w:tc>
            </w:tr>
          </w:tbl>
          <w:p w14:paraId="6CBC0545" w14:textId="77777777" w:rsidR="00A66E1A" w:rsidRPr="00CE62FF" w:rsidRDefault="00A66E1A" w:rsidP="00A66E1A">
            <w:pPr>
              <w:rPr>
                <w:rFonts w:ascii="HelveticaNeueLT Std" w:hAnsi="HelveticaNeueLT Std"/>
                <w:sz w:val="20"/>
                <w:szCs w:val="20"/>
              </w:rPr>
            </w:pPr>
          </w:p>
        </w:tc>
        <w:tc>
          <w:tcPr>
            <w:tcW w:w="5812" w:type="dxa"/>
            <w:tcBorders>
              <w:top w:val="nil"/>
              <w:bottom w:val="single" w:sz="4" w:space="0" w:color="auto"/>
            </w:tcBorders>
            <w:shd w:val="clear" w:color="auto" w:fill="auto"/>
          </w:tcPr>
          <w:p w14:paraId="1BB9D1E9" w14:textId="77777777" w:rsidR="00A66E1A" w:rsidRPr="00CE62FF" w:rsidRDefault="00A66E1A" w:rsidP="00A66E1A">
            <w:pPr>
              <w:jc w:val="both"/>
              <w:rPr>
                <w:rFonts w:ascii="HelveticaNeueLT Std" w:hAnsi="HelveticaNeueLT Std" w:cs="Arial"/>
                <w:color w:val="2F2F2F"/>
                <w:sz w:val="20"/>
                <w:szCs w:val="20"/>
                <w:shd w:val="clear" w:color="auto" w:fill="FFFFFF"/>
              </w:rPr>
            </w:pPr>
            <w:r w:rsidRPr="00CE62FF">
              <w:rPr>
                <w:rFonts w:ascii="HelveticaNeueLT Std" w:hAnsi="HelveticaNeueLT Std" w:cs="Arial"/>
                <w:color w:val="2F2F2F"/>
                <w:sz w:val="20"/>
                <w:szCs w:val="20"/>
                <w:shd w:val="clear" w:color="auto" w:fill="FFFFFF"/>
              </w:rPr>
              <w:t>A través del presente Acuerdo, se establece:</w:t>
            </w:r>
          </w:p>
          <w:p w14:paraId="42B68C3F" w14:textId="77777777" w:rsidR="00A66E1A" w:rsidRPr="00CE62FF" w:rsidRDefault="00A66E1A" w:rsidP="00A66E1A">
            <w:pPr>
              <w:jc w:val="both"/>
              <w:rPr>
                <w:rFonts w:ascii="HelveticaNeueLT Std" w:hAnsi="HelveticaNeueLT Std" w:cs="Arial"/>
                <w:color w:val="2F2F2F"/>
                <w:sz w:val="20"/>
                <w:szCs w:val="20"/>
                <w:shd w:val="clear" w:color="auto" w:fill="FFFFFF"/>
              </w:rPr>
            </w:pPr>
          </w:p>
          <w:p w14:paraId="31B1EA57" w14:textId="77777777" w:rsidR="00CE62FF" w:rsidRDefault="00A66E1A" w:rsidP="00CE62FF">
            <w:pPr>
              <w:spacing w:line="276" w:lineRule="auto"/>
              <w:jc w:val="both"/>
              <w:rPr>
                <w:rFonts w:ascii="HelveticaNeueLT Std" w:hAnsi="HelveticaNeueLT Std" w:cs="Arial"/>
                <w:color w:val="2F2F2F"/>
                <w:sz w:val="20"/>
                <w:szCs w:val="20"/>
                <w:shd w:val="clear" w:color="auto" w:fill="FFFFFF"/>
              </w:rPr>
            </w:pPr>
            <w:r w:rsidRPr="00CE62FF">
              <w:rPr>
                <w:rFonts w:ascii="HelveticaNeueLT Std" w:hAnsi="HelveticaNeueLT Std" w:cs="Arial"/>
                <w:color w:val="2F2F2F"/>
                <w:sz w:val="20"/>
                <w:szCs w:val="20"/>
                <w:shd w:val="clear" w:color="auto" w:fill="FFFFFF"/>
              </w:rPr>
              <w:t>Normar los mecanismos, procedimientos, responsabilidades, plazos, formatos oficiales a utilizarse en los procesos y el catálogo de obras, acciones, gastos indirectos y Programa de Desarrollo Institucional Municipal y de las Demarcaciones Territoriales de la Ciudad de México (</w:t>
            </w:r>
            <w:proofErr w:type="spellStart"/>
            <w:r w:rsidRPr="00CE62FF">
              <w:rPr>
                <w:rFonts w:ascii="HelveticaNeueLT Std" w:hAnsi="HelveticaNeueLT Std" w:cs="Arial"/>
                <w:color w:val="2F2F2F"/>
                <w:sz w:val="20"/>
                <w:szCs w:val="20"/>
                <w:shd w:val="clear" w:color="auto" w:fill="FFFFFF"/>
              </w:rPr>
              <w:t>PRODIM</w:t>
            </w:r>
            <w:proofErr w:type="spellEnd"/>
            <w:r w:rsidRPr="00CE62FF">
              <w:rPr>
                <w:rFonts w:ascii="HelveticaNeueLT Std" w:hAnsi="HelveticaNeueLT Std" w:cs="Arial"/>
                <w:color w:val="2F2F2F"/>
                <w:sz w:val="20"/>
                <w:szCs w:val="20"/>
                <w:shd w:val="clear" w:color="auto" w:fill="FFFFFF"/>
              </w:rPr>
              <w:t>) que deben observar los gobiernos locales y de las entidades federativas para la eficaz y eficiente planeación, operación y seguimiento del Fondo de Aportaciones para la Infraestructura Social (</w:t>
            </w:r>
            <w:proofErr w:type="spellStart"/>
            <w:r w:rsidRPr="00CE62FF">
              <w:rPr>
                <w:rFonts w:ascii="HelveticaNeueLT Std" w:hAnsi="HelveticaNeueLT Std" w:cs="Arial"/>
                <w:color w:val="2F2F2F"/>
                <w:sz w:val="20"/>
                <w:szCs w:val="20"/>
                <w:shd w:val="clear" w:color="auto" w:fill="FFFFFF"/>
              </w:rPr>
              <w:t>FAIS</w:t>
            </w:r>
            <w:proofErr w:type="spellEnd"/>
            <w:r w:rsidRPr="00CE62FF">
              <w:rPr>
                <w:rFonts w:ascii="HelveticaNeueLT Std" w:hAnsi="HelveticaNeueLT Std" w:cs="Arial"/>
                <w:color w:val="2F2F2F"/>
                <w:sz w:val="20"/>
                <w:szCs w:val="20"/>
                <w:shd w:val="clear" w:color="auto" w:fill="FFFFFF"/>
              </w:rPr>
              <w:t>), en sus dos componentes, Fondo de Infraestructura Social para las Entidades (</w:t>
            </w:r>
            <w:proofErr w:type="spellStart"/>
            <w:r w:rsidRPr="00CE62FF">
              <w:rPr>
                <w:rFonts w:ascii="HelveticaNeueLT Std" w:hAnsi="HelveticaNeueLT Std" w:cs="Arial"/>
                <w:color w:val="2F2F2F"/>
                <w:sz w:val="20"/>
                <w:szCs w:val="20"/>
                <w:shd w:val="clear" w:color="auto" w:fill="FFFFFF"/>
              </w:rPr>
              <w:t>FISE</w:t>
            </w:r>
            <w:proofErr w:type="spellEnd"/>
            <w:r w:rsidRPr="00CE62FF">
              <w:rPr>
                <w:rFonts w:ascii="HelveticaNeueLT Std" w:hAnsi="HelveticaNeueLT Std" w:cs="Arial"/>
                <w:color w:val="2F2F2F"/>
                <w:sz w:val="20"/>
                <w:szCs w:val="20"/>
                <w:shd w:val="clear" w:color="auto" w:fill="FFFFFF"/>
              </w:rPr>
              <w:t xml:space="preserve">) y Fondo de Aportaciones para la Infraestructura Social Municipal y de las Demarcaciones Territoriales del </w:t>
            </w:r>
            <w:r w:rsidR="00CE62FF">
              <w:rPr>
                <w:rFonts w:ascii="HelveticaNeueLT Std" w:hAnsi="HelveticaNeueLT Std" w:cs="Arial"/>
                <w:color w:val="2F2F2F"/>
                <w:sz w:val="20"/>
                <w:szCs w:val="20"/>
                <w:shd w:val="clear" w:color="auto" w:fill="FFFFFF"/>
              </w:rPr>
              <w:t>Distrito Federal (</w:t>
            </w:r>
            <w:proofErr w:type="spellStart"/>
            <w:r w:rsidR="00CE62FF">
              <w:rPr>
                <w:rFonts w:ascii="HelveticaNeueLT Std" w:hAnsi="HelveticaNeueLT Std" w:cs="Arial"/>
                <w:color w:val="2F2F2F"/>
                <w:sz w:val="20"/>
                <w:szCs w:val="20"/>
                <w:shd w:val="clear" w:color="auto" w:fill="FFFFFF"/>
              </w:rPr>
              <w:t>FAISMUN</w:t>
            </w:r>
            <w:proofErr w:type="spellEnd"/>
            <w:r w:rsidR="00CE62FF">
              <w:rPr>
                <w:rFonts w:ascii="HelveticaNeueLT Std" w:hAnsi="HelveticaNeueLT Std" w:cs="Arial"/>
                <w:color w:val="2F2F2F"/>
                <w:sz w:val="20"/>
                <w:szCs w:val="20"/>
                <w:shd w:val="clear" w:color="auto" w:fill="FFFFFF"/>
              </w:rPr>
              <w:t>)</w:t>
            </w:r>
            <w:r w:rsidRPr="00CE62FF">
              <w:rPr>
                <w:rFonts w:ascii="HelveticaNeueLT Std" w:hAnsi="HelveticaNeueLT Std" w:cs="Arial"/>
                <w:color w:val="2F2F2F"/>
                <w:sz w:val="20"/>
                <w:szCs w:val="20"/>
                <w:shd w:val="clear" w:color="auto" w:fill="FFFFFF"/>
              </w:rPr>
              <w:t>.</w:t>
            </w:r>
          </w:p>
          <w:p w14:paraId="766C785A" w14:textId="77777777" w:rsidR="00CE62FF" w:rsidRDefault="00CE62FF" w:rsidP="00CE62FF">
            <w:pPr>
              <w:spacing w:line="276" w:lineRule="auto"/>
              <w:jc w:val="both"/>
              <w:rPr>
                <w:rFonts w:ascii="HelveticaNeueLT Std" w:hAnsi="HelveticaNeueLT Std" w:cs="Arial"/>
                <w:color w:val="2F2F2F"/>
                <w:sz w:val="20"/>
                <w:szCs w:val="20"/>
                <w:shd w:val="clear" w:color="auto" w:fill="FFFFFF"/>
              </w:rPr>
            </w:pPr>
          </w:p>
          <w:p w14:paraId="042307AE" w14:textId="087B1F4D" w:rsidR="00A66E1A" w:rsidRPr="00CE62FF" w:rsidRDefault="00A66E1A" w:rsidP="00CE62FF">
            <w:pPr>
              <w:spacing w:line="276" w:lineRule="auto"/>
              <w:jc w:val="both"/>
              <w:rPr>
                <w:rFonts w:ascii="HelveticaNeueLT Std" w:hAnsi="HelveticaNeueLT Std" w:cs="Arial"/>
                <w:b/>
                <w:bCs/>
                <w:sz w:val="20"/>
                <w:szCs w:val="20"/>
              </w:rPr>
            </w:pPr>
            <w:r w:rsidRPr="00CE62FF">
              <w:rPr>
                <w:rFonts w:ascii="HelveticaNeueLT Std" w:hAnsi="HelveticaNeueLT Std" w:cs="Arial"/>
                <w:color w:val="2F2F2F"/>
                <w:sz w:val="20"/>
                <w:szCs w:val="20"/>
                <w:shd w:val="clear" w:color="auto" w:fill="FFFFFF"/>
              </w:rPr>
              <w:t xml:space="preserve"> </w:t>
            </w:r>
          </w:p>
        </w:tc>
      </w:tr>
      <w:tr w:rsidR="00613018" w:rsidRPr="00CE62FF" w14:paraId="376BCD83" w14:textId="77777777" w:rsidTr="00A66E1A">
        <w:tc>
          <w:tcPr>
            <w:tcW w:w="617" w:type="dxa"/>
            <w:tcBorders>
              <w:top w:val="single" w:sz="4" w:space="0" w:color="auto"/>
              <w:left w:val="single" w:sz="4" w:space="0" w:color="auto"/>
              <w:bottom w:val="nil"/>
              <w:right w:val="single" w:sz="4" w:space="0" w:color="auto"/>
            </w:tcBorders>
            <w:shd w:val="clear" w:color="auto" w:fill="auto"/>
          </w:tcPr>
          <w:p w14:paraId="7DBAB40B" w14:textId="6D892AE9" w:rsidR="00613018" w:rsidRPr="00CE62FF" w:rsidRDefault="00613018" w:rsidP="00613018">
            <w:pPr>
              <w:spacing w:line="276" w:lineRule="auto"/>
              <w:jc w:val="center"/>
              <w:rPr>
                <w:rFonts w:ascii="HelveticaNeueLT Std" w:hAnsi="HelveticaNeueLT Std" w:cs="Arial"/>
                <w:b/>
                <w:bCs/>
                <w:sz w:val="20"/>
                <w:szCs w:val="20"/>
              </w:rPr>
            </w:pPr>
          </w:p>
        </w:tc>
        <w:tc>
          <w:tcPr>
            <w:tcW w:w="2127" w:type="dxa"/>
            <w:tcBorders>
              <w:top w:val="single" w:sz="4" w:space="0" w:color="auto"/>
              <w:left w:val="single" w:sz="4" w:space="0" w:color="auto"/>
              <w:bottom w:val="nil"/>
              <w:right w:val="single" w:sz="4" w:space="0" w:color="auto"/>
            </w:tcBorders>
            <w:shd w:val="clear" w:color="auto" w:fill="auto"/>
          </w:tcPr>
          <w:p w14:paraId="7E9A0AA5" w14:textId="1DF87626" w:rsidR="00613018" w:rsidRPr="00CE62FF" w:rsidRDefault="00613018" w:rsidP="00A443B2">
            <w:pPr>
              <w:spacing w:line="276" w:lineRule="auto"/>
              <w:jc w:val="center"/>
              <w:rPr>
                <w:rFonts w:ascii="HelveticaNeueLT Std" w:hAnsi="HelveticaNeueLT Std" w:cs="Arial"/>
                <w:b/>
                <w:bCs/>
                <w:sz w:val="20"/>
                <w:szCs w:val="20"/>
              </w:rPr>
            </w:pPr>
          </w:p>
        </w:tc>
        <w:tc>
          <w:tcPr>
            <w:tcW w:w="2693" w:type="dxa"/>
            <w:tcBorders>
              <w:top w:val="single" w:sz="4" w:space="0" w:color="auto"/>
              <w:left w:val="single" w:sz="4" w:space="0" w:color="auto"/>
              <w:bottom w:val="nil"/>
            </w:tcBorders>
            <w:shd w:val="clear" w:color="auto" w:fill="auto"/>
          </w:tcPr>
          <w:p w14:paraId="02DBAFA6" w14:textId="77777777" w:rsidR="00613018" w:rsidRPr="00CE62FF" w:rsidRDefault="00613018" w:rsidP="00613018">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CE62FF">
              <w:rPr>
                <w:rFonts w:ascii="HelveticaNeueLT Std" w:eastAsia="MS Mincho" w:hAnsi="HelveticaNeueLT Std"/>
                <w:bCs/>
                <w:sz w:val="20"/>
                <w:szCs w:val="20"/>
                <w:lang w:eastAsia="en-US"/>
              </w:rPr>
              <w:t>Poder Ejecutivo Federal</w:t>
            </w:r>
          </w:p>
          <w:p w14:paraId="40EE35EB" w14:textId="77777777" w:rsidR="00613018" w:rsidRPr="00CE62FF" w:rsidRDefault="00613018" w:rsidP="00613018">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7697577F" w14:textId="2B2BA316" w:rsidR="00613018" w:rsidRPr="00CE62FF" w:rsidRDefault="00613018" w:rsidP="00613018">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CE62FF">
              <w:rPr>
                <w:rFonts w:ascii="HelveticaNeueLT Std" w:hAnsi="HelveticaNeueLT Std"/>
                <w:bCs/>
                <w:sz w:val="20"/>
                <w:szCs w:val="20"/>
              </w:rPr>
              <w:t>S</w:t>
            </w:r>
            <w:r w:rsidR="00453994">
              <w:rPr>
                <w:rFonts w:ascii="HelveticaNeueLT Std" w:hAnsi="HelveticaNeueLT Std"/>
                <w:bCs/>
                <w:sz w:val="20"/>
                <w:szCs w:val="20"/>
              </w:rPr>
              <w:t>ecretaria de Hacienda y Crédito</w:t>
            </w:r>
            <w:r w:rsidRPr="00CE62FF">
              <w:rPr>
                <w:rFonts w:ascii="HelveticaNeueLT Std" w:hAnsi="HelveticaNeueLT Std"/>
                <w:bCs/>
                <w:sz w:val="20"/>
                <w:szCs w:val="20"/>
              </w:rPr>
              <w:t xml:space="preserve"> Público</w:t>
            </w:r>
          </w:p>
        </w:tc>
        <w:tc>
          <w:tcPr>
            <w:tcW w:w="2977" w:type="dxa"/>
            <w:tcBorders>
              <w:top w:val="single" w:sz="4" w:space="0" w:color="auto"/>
              <w:bottom w:val="nil"/>
            </w:tcBorders>
            <w:shd w:val="clear" w:color="auto" w:fill="auto"/>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613018" w:rsidRPr="00CE62FF" w14:paraId="6AB75D06" w14:textId="77777777" w:rsidTr="00B959A9">
              <w:trPr>
                <w:tblCellSpacing w:w="0" w:type="dxa"/>
              </w:trPr>
              <w:tc>
                <w:tcPr>
                  <w:tcW w:w="8832" w:type="dxa"/>
                  <w:shd w:val="clear" w:color="auto" w:fill="FFFFFF"/>
                  <w:vAlign w:val="center"/>
                  <w:hideMark/>
                </w:tcPr>
                <w:p w14:paraId="7E3A4CD2" w14:textId="77777777" w:rsidR="00613018" w:rsidRPr="00CE62FF" w:rsidRDefault="00172907" w:rsidP="00613018">
                  <w:pPr>
                    <w:jc w:val="both"/>
                    <w:rPr>
                      <w:rFonts w:ascii="HelveticaNeueLT Std" w:hAnsi="HelveticaNeueLT Std" w:cs="Arial"/>
                      <w:color w:val="2F2F2F"/>
                      <w:sz w:val="20"/>
                      <w:szCs w:val="20"/>
                      <w:lang w:eastAsia="es-MX"/>
                    </w:rPr>
                  </w:pPr>
                  <w:hyperlink r:id="rId13" w:history="1">
                    <w:r w:rsidR="00613018" w:rsidRPr="00CE62FF">
                      <w:rPr>
                        <w:rFonts w:ascii="HelveticaNeueLT Std" w:hAnsi="HelveticaNeueLT Std"/>
                        <w:b/>
                        <w:bCs/>
                        <w:sz w:val="20"/>
                        <w:szCs w:val="20"/>
                      </w:rPr>
                      <w:t>Anexos 23, 28, 29, 30, 31 y 32 de la Resolución Miscelánea Fiscal para 2023, publicada el 27 de diciembre de 2022.</w:t>
                    </w:r>
                  </w:hyperlink>
                </w:p>
              </w:tc>
              <w:tc>
                <w:tcPr>
                  <w:tcW w:w="6" w:type="dxa"/>
                  <w:shd w:val="clear" w:color="auto" w:fill="FFFFFF"/>
                  <w:vAlign w:val="center"/>
                  <w:hideMark/>
                </w:tcPr>
                <w:p w14:paraId="1DA1FEC4" w14:textId="77777777" w:rsidR="00613018" w:rsidRPr="00CE62FF" w:rsidRDefault="00613018" w:rsidP="00613018">
                  <w:pPr>
                    <w:rPr>
                      <w:rFonts w:ascii="HelveticaNeueLT Std" w:hAnsi="HelveticaNeueLT Std" w:cs="Arial"/>
                      <w:color w:val="2F2F2F"/>
                      <w:sz w:val="20"/>
                      <w:szCs w:val="20"/>
                    </w:rPr>
                  </w:pPr>
                </w:p>
              </w:tc>
            </w:tr>
            <w:tr w:rsidR="00613018" w:rsidRPr="00CE62FF" w14:paraId="27BE12C3" w14:textId="77777777" w:rsidTr="00B959A9">
              <w:trPr>
                <w:trHeight w:val="180"/>
                <w:tblCellSpacing w:w="0" w:type="dxa"/>
              </w:trPr>
              <w:tc>
                <w:tcPr>
                  <w:tcW w:w="8832" w:type="dxa"/>
                  <w:shd w:val="clear" w:color="auto" w:fill="FFFFFF"/>
                  <w:hideMark/>
                </w:tcPr>
                <w:p w14:paraId="17789562" w14:textId="77777777" w:rsidR="00613018" w:rsidRPr="00CE62FF" w:rsidRDefault="00613018" w:rsidP="00613018">
                  <w:pPr>
                    <w:rPr>
                      <w:rFonts w:ascii="HelveticaNeueLT Std" w:hAnsi="HelveticaNeueLT Std" w:cs="Arial"/>
                      <w:color w:val="2F2F2F"/>
                      <w:sz w:val="20"/>
                      <w:szCs w:val="20"/>
                    </w:rPr>
                  </w:pPr>
                  <w:r w:rsidRPr="00CE62FF">
                    <w:rPr>
                      <w:rFonts w:ascii="HelveticaNeueLT Std" w:hAnsi="HelveticaNeueLT Std" w:cs="Arial"/>
                      <w:noProof/>
                      <w:color w:val="2F2F2F"/>
                      <w:sz w:val="20"/>
                      <w:szCs w:val="20"/>
                      <w:lang w:eastAsia="es-MX"/>
                    </w:rPr>
                    <w:drawing>
                      <wp:inline distT="0" distB="0" distL="0" distR="0" wp14:anchorId="41E28228" wp14:editId="29A7FEAA">
                        <wp:extent cx="95250" cy="114300"/>
                        <wp:effectExtent l="0" t="0" r="0" b="0"/>
                        <wp:docPr id="8" name="Imagen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c>
                <w:tcPr>
                  <w:tcW w:w="6" w:type="dxa"/>
                  <w:shd w:val="clear" w:color="auto" w:fill="FFFFFF"/>
                  <w:vAlign w:val="center"/>
                  <w:hideMark/>
                </w:tcPr>
                <w:p w14:paraId="0807A127" w14:textId="77777777" w:rsidR="00613018" w:rsidRPr="00CE62FF" w:rsidRDefault="00613018" w:rsidP="00613018">
                  <w:pPr>
                    <w:rPr>
                      <w:rFonts w:ascii="HelveticaNeueLT Std" w:hAnsi="HelveticaNeueLT Std"/>
                      <w:sz w:val="20"/>
                      <w:szCs w:val="20"/>
                    </w:rPr>
                  </w:pPr>
                </w:p>
              </w:tc>
            </w:tr>
          </w:tbl>
          <w:p w14:paraId="27049135" w14:textId="77777777" w:rsidR="00613018" w:rsidRPr="00CE62FF" w:rsidRDefault="00613018" w:rsidP="00613018">
            <w:pPr>
              <w:rPr>
                <w:rFonts w:ascii="HelveticaNeueLT Std" w:hAnsi="HelveticaNeueLT Std"/>
                <w:sz w:val="20"/>
                <w:szCs w:val="20"/>
              </w:rPr>
            </w:pPr>
          </w:p>
        </w:tc>
        <w:tc>
          <w:tcPr>
            <w:tcW w:w="5812" w:type="dxa"/>
            <w:tcBorders>
              <w:top w:val="single" w:sz="4" w:space="0" w:color="auto"/>
              <w:bottom w:val="nil"/>
            </w:tcBorders>
            <w:shd w:val="clear" w:color="auto" w:fill="auto"/>
          </w:tcPr>
          <w:p w14:paraId="754371A5" w14:textId="24CE6C62" w:rsidR="00613018" w:rsidRPr="00CE62FF" w:rsidRDefault="00613018" w:rsidP="00613018">
            <w:pPr>
              <w:jc w:val="both"/>
              <w:rPr>
                <w:rFonts w:ascii="HelveticaNeueLT Std" w:hAnsi="HelveticaNeueLT Std" w:cs="Arial"/>
                <w:color w:val="2F2F2F"/>
                <w:sz w:val="20"/>
                <w:szCs w:val="20"/>
                <w:shd w:val="clear" w:color="auto" w:fill="FFFFFF"/>
              </w:rPr>
            </w:pPr>
          </w:p>
        </w:tc>
      </w:tr>
      <w:tr w:rsidR="00613018" w:rsidRPr="00CE62FF" w14:paraId="79A201AF" w14:textId="77777777" w:rsidTr="00A66E1A">
        <w:tc>
          <w:tcPr>
            <w:tcW w:w="617" w:type="dxa"/>
            <w:tcBorders>
              <w:top w:val="nil"/>
              <w:bottom w:val="nil"/>
            </w:tcBorders>
            <w:shd w:val="clear" w:color="auto" w:fill="auto"/>
          </w:tcPr>
          <w:p w14:paraId="6597B402" w14:textId="3113655F" w:rsidR="00613018" w:rsidRPr="00CE62FF" w:rsidRDefault="00613018" w:rsidP="00613018">
            <w:pPr>
              <w:spacing w:line="276" w:lineRule="auto"/>
              <w:jc w:val="center"/>
              <w:rPr>
                <w:rFonts w:ascii="HelveticaNeueLT Std" w:hAnsi="HelveticaNeueLT Std" w:cs="Arial"/>
                <w:b/>
                <w:bCs/>
                <w:sz w:val="20"/>
                <w:szCs w:val="20"/>
              </w:rPr>
            </w:pPr>
            <w:r w:rsidRPr="00CE62FF">
              <w:rPr>
                <w:rFonts w:ascii="HelveticaNeueLT Std" w:hAnsi="HelveticaNeueLT Std" w:cs="Arial"/>
                <w:b/>
                <w:bCs/>
                <w:sz w:val="20"/>
                <w:szCs w:val="20"/>
              </w:rPr>
              <w:t>12</w:t>
            </w:r>
          </w:p>
        </w:tc>
        <w:tc>
          <w:tcPr>
            <w:tcW w:w="2127" w:type="dxa"/>
            <w:tcBorders>
              <w:top w:val="nil"/>
              <w:bottom w:val="nil"/>
            </w:tcBorders>
            <w:shd w:val="clear" w:color="auto" w:fill="auto"/>
          </w:tcPr>
          <w:p w14:paraId="0F342357" w14:textId="77777777" w:rsidR="00613018" w:rsidRDefault="00613018" w:rsidP="00A443B2">
            <w:pPr>
              <w:spacing w:line="276" w:lineRule="auto"/>
              <w:jc w:val="center"/>
              <w:rPr>
                <w:rFonts w:ascii="HelveticaNeueLT Std" w:hAnsi="HelveticaNeueLT Std" w:cs="Arial"/>
                <w:b/>
                <w:bCs/>
                <w:sz w:val="20"/>
                <w:szCs w:val="20"/>
              </w:rPr>
            </w:pPr>
            <w:r w:rsidRPr="00CE62FF">
              <w:rPr>
                <w:rFonts w:ascii="HelveticaNeueLT Std" w:hAnsi="HelveticaNeueLT Std" w:cs="Arial"/>
                <w:b/>
                <w:bCs/>
                <w:sz w:val="20"/>
                <w:szCs w:val="20"/>
              </w:rPr>
              <w:t>13-enero-202</w:t>
            </w:r>
            <w:r w:rsidR="00A443B2" w:rsidRPr="00CE62FF">
              <w:rPr>
                <w:rFonts w:ascii="HelveticaNeueLT Std" w:hAnsi="HelveticaNeueLT Std" w:cs="Arial"/>
                <w:b/>
                <w:bCs/>
                <w:sz w:val="20"/>
                <w:szCs w:val="20"/>
              </w:rPr>
              <w:t>3</w:t>
            </w:r>
          </w:p>
          <w:p w14:paraId="07E1B01C" w14:textId="2B8141E1" w:rsidR="00AD2F15" w:rsidRPr="00CE62FF" w:rsidRDefault="00AD2F15" w:rsidP="00A443B2">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Única Sección</w:t>
            </w:r>
          </w:p>
        </w:tc>
        <w:tc>
          <w:tcPr>
            <w:tcW w:w="2693" w:type="dxa"/>
            <w:tcBorders>
              <w:top w:val="nil"/>
              <w:bottom w:val="nil"/>
            </w:tcBorders>
            <w:shd w:val="clear" w:color="auto" w:fill="auto"/>
          </w:tcPr>
          <w:p w14:paraId="2B37B971" w14:textId="77777777" w:rsidR="00613018" w:rsidRPr="00CE62FF" w:rsidRDefault="00613018" w:rsidP="00613018">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CE62FF">
              <w:rPr>
                <w:rFonts w:ascii="HelveticaNeueLT Std" w:eastAsia="MS Mincho" w:hAnsi="HelveticaNeueLT Std"/>
                <w:bCs/>
                <w:sz w:val="20"/>
                <w:szCs w:val="20"/>
                <w:lang w:eastAsia="en-US"/>
              </w:rPr>
              <w:t>Poder Ejecutivo Federal</w:t>
            </w:r>
          </w:p>
          <w:p w14:paraId="13D1EFA8" w14:textId="77777777" w:rsidR="00613018" w:rsidRPr="00CE62FF" w:rsidRDefault="00613018" w:rsidP="00613018">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782DCD8D" w14:textId="1D3EE939" w:rsidR="00613018" w:rsidRPr="00CE62FF" w:rsidRDefault="00613018" w:rsidP="00613018">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CE62FF">
              <w:rPr>
                <w:rFonts w:ascii="HelveticaNeueLT Std" w:hAnsi="HelveticaNeueLT Std"/>
                <w:bCs/>
                <w:sz w:val="20"/>
                <w:szCs w:val="20"/>
              </w:rPr>
              <w:t>S</w:t>
            </w:r>
            <w:r w:rsidR="00453994">
              <w:rPr>
                <w:rFonts w:ascii="HelveticaNeueLT Std" w:hAnsi="HelveticaNeueLT Std"/>
                <w:bCs/>
                <w:sz w:val="20"/>
                <w:szCs w:val="20"/>
              </w:rPr>
              <w:t>ecretaria de Hacienda y Crédito</w:t>
            </w:r>
            <w:r w:rsidRPr="00CE62FF">
              <w:rPr>
                <w:rFonts w:ascii="HelveticaNeueLT Std" w:hAnsi="HelveticaNeueLT Std"/>
                <w:bCs/>
                <w:sz w:val="20"/>
                <w:szCs w:val="20"/>
              </w:rPr>
              <w:t xml:space="preserve"> Público</w:t>
            </w:r>
          </w:p>
        </w:tc>
        <w:tc>
          <w:tcPr>
            <w:tcW w:w="2977" w:type="dxa"/>
            <w:tcBorders>
              <w:top w:val="nil"/>
              <w:bottom w:val="nil"/>
            </w:tcBorders>
            <w:shd w:val="clear" w:color="auto" w:fill="auto"/>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613018" w:rsidRPr="00CE62FF" w14:paraId="6F0E59AC" w14:textId="77777777" w:rsidTr="00B959A9">
              <w:trPr>
                <w:tblCellSpacing w:w="0" w:type="dxa"/>
              </w:trPr>
              <w:tc>
                <w:tcPr>
                  <w:tcW w:w="8832" w:type="dxa"/>
                  <w:shd w:val="clear" w:color="auto" w:fill="FFFFFF"/>
                  <w:vAlign w:val="center"/>
                  <w:hideMark/>
                </w:tcPr>
                <w:p w14:paraId="76FFA1A9" w14:textId="77777777" w:rsidR="00613018" w:rsidRPr="00CE62FF" w:rsidRDefault="00172907" w:rsidP="00613018">
                  <w:pPr>
                    <w:rPr>
                      <w:rFonts w:ascii="HelveticaNeueLT Std" w:hAnsi="HelveticaNeueLT Std" w:cs="Arial"/>
                      <w:color w:val="2F2F2F"/>
                      <w:sz w:val="20"/>
                      <w:szCs w:val="20"/>
                      <w:lang w:eastAsia="es-MX"/>
                    </w:rPr>
                  </w:pPr>
                  <w:hyperlink r:id="rId14" w:history="1">
                    <w:r w:rsidR="00613018" w:rsidRPr="00CE62FF">
                      <w:rPr>
                        <w:rFonts w:ascii="HelveticaNeueLT Std" w:hAnsi="HelveticaNeueLT Std"/>
                        <w:b/>
                        <w:bCs/>
                        <w:sz w:val="20"/>
                        <w:szCs w:val="20"/>
                      </w:rPr>
                      <w:t>Anexo 16 de la Resolución Miscelánea Fiscal para 2023, publicada el 27 de diciembre de 2022.</w:t>
                    </w:r>
                  </w:hyperlink>
                </w:p>
              </w:tc>
              <w:tc>
                <w:tcPr>
                  <w:tcW w:w="6" w:type="dxa"/>
                  <w:shd w:val="clear" w:color="auto" w:fill="FFFFFF"/>
                  <w:vAlign w:val="center"/>
                  <w:hideMark/>
                </w:tcPr>
                <w:p w14:paraId="47E9CA9A" w14:textId="77777777" w:rsidR="00613018" w:rsidRPr="00CE62FF" w:rsidRDefault="00613018" w:rsidP="00613018">
                  <w:pPr>
                    <w:rPr>
                      <w:rFonts w:ascii="HelveticaNeueLT Std" w:hAnsi="HelveticaNeueLT Std" w:cs="Arial"/>
                      <w:color w:val="2F2F2F"/>
                      <w:sz w:val="20"/>
                      <w:szCs w:val="20"/>
                    </w:rPr>
                  </w:pPr>
                </w:p>
              </w:tc>
            </w:tr>
            <w:tr w:rsidR="00613018" w:rsidRPr="00CE62FF" w14:paraId="11D3ED09" w14:textId="77777777" w:rsidTr="00B959A9">
              <w:trPr>
                <w:trHeight w:val="180"/>
                <w:tblCellSpacing w:w="0" w:type="dxa"/>
              </w:trPr>
              <w:tc>
                <w:tcPr>
                  <w:tcW w:w="8832" w:type="dxa"/>
                  <w:shd w:val="clear" w:color="auto" w:fill="FFFFFF"/>
                  <w:hideMark/>
                </w:tcPr>
                <w:p w14:paraId="149312A0" w14:textId="77777777" w:rsidR="00613018" w:rsidRPr="00CE62FF" w:rsidRDefault="00613018" w:rsidP="00613018">
                  <w:pPr>
                    <w:rPr>
                      <w:rFonts w:ascii="HelveticaNeueLT Std" w:hAnsi="HelveticaNeueLT Std" w:cs="Arial"/>
                      <w:color w:val="2F2F2F"/>
                      <w:sz w:val="20"/>
                      <w:szCs w:val="20"/>
                    </w:rPr>
                  </w:pPr>
                  <w:r w:rsidRPr="00CE62FF">
                    <w:rPr>
                      <w:rFonts w:ascii="HelveticaNeueLT Std" w:hAnsi="HelveticaNeueLT Std" w:cs="Arial"/>
                      <w:noProof/>
                      <w:color w:val="2F2F2F"/>
                      <w:sz w:val="20"/>
                      <w:szCs w:val="20"/>
                      <w:lang w:eastAsia="es-MX"/>
                    </w:rPr>
                    <w:drawing>
                      <wp:inline distT="0" distB="0" distL="0" distR="0" wp14:anchorId="0A39314A" wp14:editId="4F248E24">
                        <wp:extent cx="95250" cy="114300"/>
                        <wp:effectExtent l="0" t="0" r="0" b="0"/>
                        <wp:docPr id="9" name="Imagen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c>
                <w:tcPr>
                  <w:tcW w:w="6" w:type="dxa"/>
                  <w:shd w:val="clear" w:color="auto" w:fill="FFFFFF"/>
                  <w:vAlign w:val="center"/>
                  <w:hideMark/>
                </w:tcPr>
                <w:p w14:paraId="693E3068" w14:textId="77777777" w:rsidR="00613018" w:rsidRPr="00CE62FF" w:rsidRDefault="00613018" w:rsidP="00613018">
                  <w:pPr>
                    <w:rPr>
                      <w:rFonts w:ascii="HelveticaNeueLT Std" w:hAnsi="HelveticaNeueLT Std"/>
                      <w:sz w:val="20"/>
                      <w:szCs w:val="20"/>
                    </w:rPr>
                  </w:pPr>
                </w:p>
              </w:tc>
            </w:tr>
          </w:tbl>
          <w:p w14:paraId="1033A0F2" w14:textId="77777777" w:rsidR="00613018" w:rsidRPr="00CE62FF" w:rsidRDefault="00613018" w:rsidP="00613018">
            <w:pPr>
              <w:rPr>
                <w:rFonts w:ascii="HelveticaNeueLT Std" w:hAnsi="HelveticaNeueLT Std"/>
                <w:sz w:val="20"/>
                <w:szCs w:val="20"/>
              </w:rPr>
            </w:pPr>
          </w:p>
        </w:tc>
        <w:tc>
          <w:tcPr>
            <w:tcW w:w="5812" w:type="dxa"/>
            <w:tcBorders>
              <w:top w:val="nil"/>
              <w:bottom w:val="nil"/>
            </w:tcBorders>
            <w:shd w:val="clear" w:color="auto" w:fill="auto"/>
          </w:tcPr>
          <w:p w14:paraId="27B22E2B" w14:textId="77777777" w:rsidR="00613018" w:rsidRPr="00CE62FF" w:rsidRDefault="00613018" w:rsidP="00613018">
            <w:pPr>
              <w:jc w:val="both"/>
              <w:rPr>
                <w:rFonts w:ascii="HelveticaNeueLT Std" w:hAnsi="HelveticaNeueLT Std" w:cs="Arial"/>
                <w:color w:val="2F2F2F"/>
                <w:sz w:val="20"/>
                <w:szCs w:val="20"/>
                <w:shd w:val="clear" w:color="auto" w:fill="FFFFFF"/>
              </w:rPr>
            </w:pPr>
          </w:p>
        </w:tc>
      </w:tr>
      <w:tr w:rsidR="00DC41E6" w:rsidRPr="00CE62FF" w14:paraId="0C1D2AE8" w14:textId="77777777" w:rsidTr="00A66E1A">
        <w:tc>
          <w:tcPr>
            <w:tcW w:w="617" w:type="dxa"/>
            <w:tcBorders>
              <w:top w:val="nil"/>
              <w:bottom w:val="nil"/>
            </w:tcBorders>
            <w:shd w:val="clear" w:color="auto" w:fill="auto"/>
          </w:tcPr>
          <w:p w14:paraId="3B676F19" w14:textId="1DBB4D7D" w:rsidR="00DC41E6" w:rsidRPr="00CE62FF" w:rsidRDefault="00DC41E6" w:rsidP="006A4C7F">
            <w:pPr>
              <w:spacing w:line="276" w:lineRule="auto"/>
              <w:jc w:val="center"/>
              <w:rPr>
                <w:rFonts w:ascii="HelveticaNeueLT Std" w:hAnsi="HelveticaNeueLT Std" w:cs="Arial"/>
                <w:b/>
                <w:bCs/>
                <w:sz w:val="20"/>
                <w:szCs w:val="20"/>
              </w:rPr>
            </w:pPr>
            <w:r w:rsidRPr="00CE62FF">
              <w:rPr>
                <w:rFonts w:ascii="HelveticaNeueLT Std" w:hAnsi="HelveticaNeueLT Std" w:cs="Arial"/>
                <w:b/>
                <w:bCs/>
                <w:sz w:val="20"/>
                <w:szCs w:val="20"/>
              </w:rPr>
              <w:t>20</w:t>
            </w:r>
          </w:p>
        </w:tc>
        <w:tc>
          <w:tcPr>
            <w:tcW w:w="2127" w:type="dxa"/>
            <w:tcBorders>
              <w:top w:val="nil"/>
              <w:bottom w:val="nil"/>
            </w:tcBorders>
            <w:shd w:val="clear" w:color="auto" w:fill="auto"/>
          </w:tcPr>
          <w:p w14:paraId="1E49F225" w14:textId="77777777" w:rsidR="00DC41E6" w:rsidRDefault="00DC41E6" w:rsidP="00AD2F15">
            <w:pPr>
              <w:spacing w:line="276" w:lineRule="auto"/>
              <w:jc w:val="center"/>
              <w:rPr>
                <w:rFonts w:ascii="HelveticaNeueLT Std" w:hAnsi="HelveticaNeueLT Std" w:cs="Arial"/>
                <w:b/>
                <w:bCs/>
                <w:sz w:val="20"/>
                <w:szCs w:val="20"/>
              </w:rPr>
            </w:pPr>
            <w:r w:rsidRPr="00CE62FF">
              <w:rPr>
                <w:rFonts w:ascii="HelveticaNeueLT Std" w:hAnsi="HelveticaNeueLT Std" w:cs="Arial"/>
                <w:b/>
                <w:bCs/>
                <w:sz w:val="20"/>
                <w:szCs w:val="20"/>
              </w:rPr>
              <w:t>23-</w:t>
            </w:r>
            <w:r w:rsidR="00AD2F15">
              <w:rPr>
                <w:rFonts w:ascii="HelveticaNeueLT Std" w:hAnsi="HelveticaNeueLT Std" w:cs="Arial"/>
                <w:b/>
                <w:bCs/>
                <w:sz w:val="20"/>
                <w:szCs w:val="20"/>
              </w:rPr>
              <w:t>enero</w:t>
            </w:r>
            <w:r w:rsidRPr="00CE62FF">
              <w:rPr>
                <w:rFonts w:ascii="HelveticaNeueLT Std" w:hAnsi="HelveticaNeueLT Std" w:cs="Arial"/>
                <w:b/>
                <w:bCs/>
                <w:sz w:val="20"/>
                <w:szCs w:val="20"/>
              </w:rPr>
              <w:t>-2023</w:t>
            </w:r>
          </w:p>
          <w:p w14:paraId="0A1DDF09" w14:textId="7EB3BB3C" w:rsidR="00AD2F15" w:rsidRPr="00CE62FF" w:rsidRDefault="00AD2F15" w:rsidP="00AD2F15">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Única Sección</w:t>
            </w:r>
          </w:p>
        </w:tc>
        <w:tc>
          <w:tcPr>
            <w:tcW w:w="2693" w:type="dxa"/>
            <w:tcBorders>
              <w:top w:val="nil"/>
              <w:bottom w:val="nil"/>
            </w:tcBorders>
            <w:shd w:val="clear" w:color="auto" w:fill="auto"/>
          </w:tcPr>
          <w:p w14:paraId="69061486" w14:textId="77777777" w:rsidR="00DC41E6" w:rsidRPr="00CE62FF" w:rsidRDefault="00DC41E6" w:rsidP="00DC41E6">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CE62FF">
              <w:rPr>
                <w:rFonts w:ascii="HelveticaNeueLT Std" w:eastAsia="MS Mincho" w:hAnsi="HelveticaNeueLT Std"/>
                <w:bCs/>
                <w:sz w:val="20"/>
                <w:szCs w:val="20"/>
                <w:lang w:eastAsia="en-US"/>
              </w:rPr>
              <w:t>Poder Ejecutivo Federal</w:t>
            </w:r>
          </w:p>
          <w:p w14:paraId="294E3584" w14:textId="77777777" w:rsidR="00DC41E6" w:rsidRPr="00CE62FF" w:rsidRDefault="00DC41E6" w:rsidP="00DC41E6">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370224A7" w14:textId="3867E4D1" w:rsidR="00DC41E6" w:rsidRPr="00CE62FF" w:rsidRDefault="00DC41E6" w:rsidP="00DC41E6">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CE62FF">
              <w:rPr>
                <w:rFonts w:ascii="HelveticaNeueLT Std" w:hAnsi="HelveticaNeueLT Std"/>
                <w:bCs/>
                <w:sz w:val="20"/>
                <w:szCs w:val="20"/>
              </w:rPr>
              <w:t>Secretaria de Hacienda y Crédito Público</w:t>
            </w:r>
          </w:p>
        </w:tc>
        <w:tc>
          <w:tcPr>
            <w:tcW w:w="2977" w:type="dxa"/>
            <w:tcBorders>
              <w:top w:val="nil"/>
              <w:bottom w:val="nil"/>
            </w:tcBorders>
            <w:shd w:val="clear" w:color="auto" w:fill="auto"/>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DC41E6" w:rsidRPr="00CE62FF" w14:paraId="198F0DFC" w14:textId="77777777" w:rsidTr="00DC41E6">
              <w:trPr>
                <w:tblCellSpacing w:w="0" w:type="dxa"/>
              </w:trPr>
              <w:tc>
                <w:tcPr>
                  <w:tcW w:w="8832" w:type="dxa"/>
                  <w:shd w:val="clear" w:color="auto" w:fill="FFFFFF"/>
                  <w:vAlign w:val="center"/>
                  <w:hideMark/>
                </w:tcPr>
                <w:p w14:paraId="26775250" w14:textId="77777777" w:rsidR="00DC41E6" w:rsidRPr="00CE62FF" w:rsidRDefault="00172907" w:rsidP="00DC41E6">
                  <w:pPr>
                    <w:rPr>
                      <w:rFonts w:ascii="HelveticaNeueLT Std" w:hAnsi="HelveticaNeueLT Std"/>
                      <w:b/>
                      <w:bCs/>
                      <w:sz w:val="20"/>
                      <w:szCs w:val="20"/>
                    </w:rPr>
                  </w:pPr>
                  <w:hyperlink r:id="rId15" w:history="1">
                    <w:r w:rsidR="00DC41E6" w:rsidRPr="00CE62FF">
                      <w:rPr>
                        <w:rFonts w:ascii="HelveticaNeueLT Std" w:hAnsi="HelveticaNeueLT Std"/>
                        <w:b/>
                        <w:bCs/>
                        <w:sz w:val="20"/>
                        <w:szCs w:val="20"/>
                      </w:rPr>
                      <w:t>Anexo 16-A de la Resolución Miscelánea Fiscal para 2023, publicada el 27 de diciembre de 2022.</w:t>
                    </w:r>
                  </w:hyperlink>
                </w:p>
              </w:tc>
              <w:tc>
                <w:tcPr>
                  <w:tcW w:w="6" w:type="dxa"/>
                  <w:shd w:val="clear" w:color="auto" w:fill="FFFFFF"/>
                  <w:vAlign w:val="center"/>
                  <w:hideMark/>
                </w:tcPr>
                <w:p w14:paraId="4A9D8F4B" w14:textId="77777777" w:rsidR="00DC41E6" w:rsidRPr="00CE62FF" w:rsidRDefault="00DC41E6" w:rsidP="00DC41E6">
                  <w:pPr>
                    <w:rPr>
                      <w:rFonts w:ascii="HelveticaNeueLT Std" w:hAnsi="HelveticaNeueLT Std"/>
                      <w:b/>
                      <w:bCs/>
                      <w:sz w:val="20"/>
                      <w:szCs w:val="20"/>
                    </w:rPr>
                  </w:pPr>
                </w:p>
              </w:tc>
            </w:tr>
          </w:tbl>
          <w:p w14:paraId="201838F1" w14:textId="77777777" w:rsidR="00DC41E6" w:rsidRPr="00CE62FF" w:rsidRDefault="00DC41E6" w:rsidP="00DC41E6">
            <w:pPr>
              <w:rPr>
                <w:rFonts w:ascii="HelveticaNeueLT Std" w:hAnsi="HelveticaNeueLT Std"/>
                <w:vanish/>
                <w:sz w:val="20"/>
                <w:szCs w:val="20"/>
              </w:rPr>
            </w:pP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37"/>
            </w:tblGrid>
            <w:tr w:rsidR="00DC41E6" w:rsidRPr="00CE62FF" w14:paraId="197BE894" w14:textId="77777777" w:rsidTr="00DC41E6">
              <w:trPr>
                <w:trHeight w:val="150"/>
                <w:tblCellSpacing w:w="0" w:type="dxa"/>
              </w:trPr>
              <w:tc>
                <w:tcPr>
                  <w:tcW w:w="8838" w:type="dxa"/>
                  <w:shd w:val="clear" w:color="auto" w:fill="FFFFFF"/>
                  <w:hideMark/>
                </w:tcPr>
                <w:p w14:paraId="5C4D3876" w14:textId="500759BF" w:rsidR="00DC41E6" w:rsidRPr="00CE62FF" w:rsidRDefault="00DC41E6" w:rsidP="00DC41E6">
                  <w:pPr>
                    <w:rPr>
                      <w:rFonts w:ascii="HelveticaNeueLT Std" w:hAnsi="HelveticaNeueLT Std" w:cs="Arial"/>
                      <w:color w:val="2F2F2F"/>
                      <w:sz w:val="20"/>
                      <w:szCs w:val="20"/>
                    </w:rPr>
                  </w:pPr>
                  <w:r w:rsidRPr="00CE62FF">
                    <w:rPr>
                      <w:rFonts w:ascii="HelveticaNeueLT Std" w:hAnsi="HelveticaNeueLT Std" w:cs="Arial"/>
                      <w:noProof/>
                      <w:color w:val="2F2F2F"/>
                      <w:sz w:val="20"/>
                      <w:szCs w:val="20"/>
                      <w:lang w:eastAsia="es-MX"/>
                    </w:rPr>
                    <w:drawing>
                      <wp:inline distT="0" distB="0" distL="0" distR="0" wp14:anchorId="259A2B2E" wp14:editId="66F7EB36">
                        <wp:extent cx="95250" cy="95250"/>
                        <wp:effectExtent l="0" t="0" r="0" b="0"/>
                        <wp:docPr id="4"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bl>
          <w:p w14:paraId="6844DFF9" w14:textId="77777777" w:rsidR="00DC41E6" w:rsidRPr="00CE62FF" w:rsidRDefault="00DC41E6" w:rsidP="006A4C7F">
            <w:pPr>
              <w:rPr>
                <w:rFonts w:ascii="HelveticaNeueLT Std" w:hAnsi="HelveticaNeueLT Std"/>
                <w:sz w:val="20"/>
                <w:szCs w:val="20"/>
              </w:rPr>
            </w:pPr>
          </w:p>
        </w:tc>
        <w:tc>
          <w:tcPr>
            <w:tcW w:w="5812" w:type="dxa"/>
            <w:tcBorders>
              <w:top w:val="nil"/>
              <w:bottom w:val="nil"/>
            </w:tcBorders>
            <w:shd w:val="clear" w:color="auto" w:fill="auto"/>
          </w:tcPr>
          <w:p w14:paraId="35515456" w14:textId="77777777" w:rsidR="00DC41E6" w:rsidRPr="00246F1A" w:rsidRDefault="00DC41E6" w:rsidP="006A4C7F">
            <w:pPr>
              <w:jc w:val="both"/>
              <w:rPr>
                <w:rFonts w:ascii="HelveticaNeueLT Std" w:eastAsia="Times New Roman" w:hAnsi="HelveticaNeueLT Std" w:cs="Arial"/>
                <w:sz w:val="20"/>
                <w:szCs w:val="20"/>
                <w:lang w:eastAsia="es-MX"/>
              </w:rPr>
            </w:pPr>
          </w:p>
        </w:tc>
      </w:tr>
      <w:tr w:rsidR="00F31CAF" w:rsidRPr="00CE62FF" w14:paraId="79D7398D" w14:textId="77777777" w:rsidTr="00CE62FF">
        <w:tc>
          <w:tcPr>
            <w:tcW w:w="617" w:type="dxa"/>
            <w:tcBorders>
              <w:top w:val="nil"/>
              <w:bottom w:val="single" w:sz="4" w:space="0" w:color="auto"/>
            </w:tcBorders>
            <w:shd w:val="clear" w:color="auto" w:fill="auto"/>
          </w:tcPr>
          <w:p w14:paraId="7B57E3D5" w14:textId="4740C9D1" w:rsidR="00F31CAF" w:rsidRPr="00CE62FF" w:rsidRDefault="00F31CAF" w:rsidP="006A4C7F">
            <w:pPr>
              <w:spacing w:line="276" w:lineRule="auto"/>
              <w:jc w:val="center"/>
              <w:rPr>
                <w:rFonts w:ascii="HelveticaNeueLT Std" w:hAnsi="HelveticaNeueLT Std" w:cs="Arial"/>
                <w:b/>
                <w:bCs/>
                <w:sz w:val="20"/>
                <w:szCs w:val="20"/>
              </w:rPr>
            </w:pPr>
            <w:r w:rsidRPr="00CE62FF">
              <w:rPr>
                <w:rFonts w:ascii="HelveticaNeueLT Std" w:hAnsi="HelveticaNeueLT Std" w:cs="Arial"/>
                <w:b/>
                <w:bCs/>
                <w:sz w:val="20"/>
                <w:szCs w:val="20"/>
              </w:rPr>
              <w:t>23</w:t>
            </w:r>
          </w:p>
        </w:tc>
        <w:tc>
          <w:tcPr>
            <w:tcW w:w="2127" w:type="dxa"/>
            <w:tcBorders>
              <w:top w:val="nil"/>
              <w:bottom w:val="single" w:sz="4" w:space="0" w:color="auto"/>
            </w:tcBorders>
            <w:shd w:val="clear" w:color="auto" w:fill="auto"/>
          </w:tcPr>
          <w:p w14:paraId="7C5E9305" w14:textId="77777777" w:rsidR="00F31CAF" w:rsidRDefault="00F31CAF" w:rsidP="00AD2F15">
            <w:pPr>
              <w:spacing w:line="276" w:lineRule="auto"/>
              <w:jc w:val="center"/>
              <w:rPr>
                <w:rFonts w:ascii="HelveticaNeueLT Std" w:hAnsi="HelveticaNeueLT Std" w:cs="Arial"/>
                <w:b/>
                <w:bCs/>
                <w:sz w:val="20"/>
                <w:szCs w:val="20"/>
              </w:rPr>
            </w:pPr>
            <w:r w:rsidRPr="00CE62FF">
              <w:rPr>
                <w:rFonts w:ascii="HelveticaNeueLT Std" w:hAnsi="HelveticaNeueLT Std" w:cs="Arial"/>
                <w:b/>
                <w:bCs/>
                <w:sz w:val="20"/>
                <w:szCs w:val="20"/>
              </w:rPr>
              <w:t>25</w:t>
            </w:r>
            <w:r w:rsidR="00AD2F15">
              <w:rPr>
                <w:rFonts w:ascii="HelveticaNeueLT Std" w:hAnsi="HelveticaNeueLT Std" w:cs="Arial"/>
                <w:b/>
                <w:bCs/>
                <w:sz w:val="20"/>
                <w:szCs w:val="20"/>
              </w:rPr>
              <w:t>-enero-2023</w:t>
            </w:r>
          </w:p>
          <w:p w14:paraId="75CC6533" w14:textId="403B9D19" w:rsidR="00AD2F15" w:rsidRPr="00CE62FF" w:rsidRDefault="00AD2F15" w:rsidP="00AD2F15">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Única Sección</w:t>
            </w:r>
          </w:p>
        </w:tc>
        <w:tc>
          <w:tcPr>
            <w:tcW w:w="2693" w:type="dxa"/>
            <w:tcBorders>
              <w:top w:val="nil"/>
              <w:bottom w:val="single" w:sz="4" w:space="0" w:color="auto"/>
            </w:tcBorders>
            <w:shd w:val="clear" w:color="auto" w:fill="auto"/>
          </w:tcPr>
          <w:p w14:paraId="45CC0832" w14:textId="77777777" w:rsidR="00F31CAF" w:rsidRPr="00CE62FF" w:rsidRDefault="00F31CAF" w:rsidP="00F31CA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CE62FF">
              <w:rPr>
                <w:rFonts w:ascii="HelveticaNeueLT Std" w:eastAsia="MS Mincho" w:hAnsi="HelveticaNeueLT Std"/>
                <w:bCs/>
                <w:sz w:val="20"/>
                <w:szCs w:val="20"/>
                <w:lang w:eastAsia="en-US"/>
              </w:rPr>
              <w:t>Poder Ejecutivo Federal</w:t>
            </w:r>
          </w:p>
          <w:p w14:paraId="3F6350DD" w14:textId="77777777" w:rsidR="00F31CAF" w:rsidRPr="00CE62FF" w:rsidRDefault="00F31CAF" w:rsidP="00F31CA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3D535B6D" w14:textId="6021FAEF" w:rsidR="00F31CAF" w:rsidRPr="00CE62FF" w:rsidRDefault="00F31CAF" w:rsidP="00F31CA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CE62FF">
              <w:rPr>
                <w:rFonts w:ascii="HelveticaNeueLT Std" w:hAnsi="HelveticaNeueLT Std"/>
                <w:bCs/>
                <w:sz w:val="20"/>
                <w:szCs w:val="20"/>
              </w:rPr>
              <w:t>Secretaria de Hacienda y Crédito Público</w:t>
            </w:r>
          </w:p>
        </w:tc>
        <w:tc>
          <w:tcPr>
            <w:tcW w:w="2977" w:type="dxa"/>
            <w:tcBorders>
              <w:top w:val="nil"/>
              <w:bottom w:val="single" w:sz="4" w:space="0" w:color="auto"/>
            </w:tcBorders>
            <w:shd w:val="clear" w:color="auto" w:fill="auto"/>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F31CAF" w:rsidRPr="00CE62FF" w14:paraId="087DD451" w14:textId="77777777" w:rsidTr="00F31CAF">
              <w:trPr>
                <w:tblCellSpacing w:w="0" w:type="dxa"/>
              </w:trPr>
              <w:tc>
                <w:tcPr>
                  <w:tcW w:w="8832" w:type="dxa"/>
                  <w:shd w:val="clear" w:color="auto" w:fill="FFFFFF"/>
                  <w:vAlign w:val="center"/>
                  <w:hideMark/>
                </w:tcPr>
                <w:p w14:paraId="5D71D7C2" w14:textId="77777777" w:rsidR="00F31CAF" w:rsidRPr="00CE62FF" w:rsidRDefault="00172907" w:rsidP="00A66E1A">
                  <w:pPr>
                    <w:jc w:val="both"/>
                    <w:rPr>
                      <w:rFonts w:ascii="HelveticaNeueLT Std" w:hAnsi="HelveticaNeueLT Std" w:cs="Arial"/>
                      <w:color w:val="2F2F2F"/>
                      <w:sz w:val="20"/>
                      <w:szCs w:val="20"/>
                      <w:lang w:eastAsia="es-MX"/>
                    </w:rPr>
                  </w:pPr>
                  <w:hyperlink r:id="rId16" w:history="1">
                    <w:r w:rsidR="00F31CAF" w:rsidRPr="00CE62FF">
                      <w:rPr>
                        <w:rFonts w:ascii="HelveticaNeueLT Std" w:hAnsi="HelveticaNeueLT Std"/>
                        <w:b/>
                        <w:bCs/>
                        <w:sz w:val="20"/>
                        <w:szCs w:val="20"/>
                      </w:rPr>
                      <w:t>Acuerdo por el que se da a conocer el calendario de entrega, porcentaje, fórmulas y variables utilizadas, así como los montos estimados que recibirá cada entidad federativa del Fondo General de Participaciones y del Fondo de Fomento Municipal, por el ejercicio fiscal de 2023.</w:t>
                    </w:r>
                  </w:hyperlink>
                </w:p>
              </w:tc>
              <w:tc>
                <w:tcPr>
                  <w:tcW w:w="6" w:type="dxa"/>
                  <w:shd w:val="clear" w:color="auto" w:fill="FFFFFF"/>
                  <w:vAlign w:val="center"/>
                  <w:hideMark/>
                </w:tcPr>
                <w:p w14:paraId="736F1B79" w14:textId="77777777" w:rsidR="00F31CAF" w:rsidRPr="00CE62FF" w:rsidRDefault="00F31CAF" w:rsidP="00F31CAF">
                  <w:pPr>
                    <w:rPr>
                      <w:rFonts w:ascii="HelveticaNeueLT Std" w:hAnsi="HelveticaNeueLT Std" w:cs="Arial"/>
                      <w:color w:val="2F2F2F"/>
                      <w:sz w:val="20"/>
                      <w:szCs w:val="20"/>
                    </w:rPr>
                  </w:pPr>
                </w:p>
              </w:tc>
            </w:tr>
            <w:tr w:rsidR="00F31CAF" w:rsidRPr="00CE62FF" w14:paraId="7C9E2F1D" w14:textId="77777777" w:rsidTr="00F31CAF">
              <w:trPr>
                <w:trHeight w:val="180"/>
                <w:tblCellSpacing w:w="0" w:type="dxa"/>
              </w:trPr>
              <w:tc>
                <w:tcPr>
                  <w:tcW w:w="8832" w:type="dxa"/>
                  <w:shd w:val="clear" w:color="auto" w:fill="FFFFFF"/>
                  <w:hideMark/>
                </w:tcPr>
                <w:p w14:paraId="5E46D581" w14:textId="4964C8E4" w:rsidR="00F31CAF" w:rsidRPr="00CE62FF" w:rsidRDefault="00F31CAF" w:rsidP="00F31CAF">
                  <w:pPr>
                    <w:rPr>
                      <w:rFonts w:ascii="HelveticaNeueLT Std" w:hAnsi="HelveticaNeueLT Std" w:cs="Arial"/>
                      <w:color w:val="2F2F2F"/>
                      <w:sz w:val="20"/>
                      <w:szCs w:val="20"/>
                    </w:rPr>
                  </w:pPr>
                  <w:r w:rsidRPr="00CE62FF">
                    <w:rPr>
                      <w:rFonts w:ascii="HelveticaNeueLT Std" w:hAnsi="HelveticaNeueLT Std" w:cs="Arial"/>
                      <w:noProof/>
                      <w:color w:val="2F2F2F"/>
                      <w:sz w:val="20"/>
                      <w:szCs w:val="20"/>
                      <w:lang w:eastAsia="es-MX"/>
                    </w:rPr>
                    <w:drawing>
                      <wp:inline distT="0" distB="0" distL="0" distR="0" wp14:anchorId="0253A1C6" wp14:editId="22C70DAF">
                        <wp:extent cx="95250" cy="114300"/>
                        <wp:effectExtent l="0" t="0" r="0" b="0"/>
                        <wp:docPr id="5"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c>
                <w:tcPr>
                  <w:tcW w:w="6" w:type="dxa"/>
                  <w:shd w:val="clear" w:color="auto" w:fill="FFFFFF"/>
                  <w:vAlign w:val="center"/>
                  <w:hideMark/>
                </w:tcPr>
                <w:p w14:paraId="5E79AAE6" w14:textId="77777777" w:rsidR="00F31CAF" w:rsidRPr="00CE62FF" w:rsidRDefault="00F31CAF" w:rsidP="00F31CAF">
                  <w:pPr>
                    <w:rPr>
                      <w:rFonts w:ascii="HelveticaNeueLT Std" w:hAnsi="HelveticaNeueLT Std"/>
                      <w:sz w:val="20"/>
                      <w:szCs w:val="20"/>
                    </w:rPr>
                  </w:pPr>
                </w:p>
              </w:tc>
            </w:tr>
          </w:tbl>
          <w:p w14:paraId="41E72EDA" w14:textId="77777777" w:rsidR="00F31CAF" w:rsidRPr="00CE62FF" w:rsidRDefault="00F31CAF" w:rsidP="00DC41E6">
            <w:pPr>
              <w:rPr>
                <w:rFonts w:ascii="HelveticaNeueLT Std" w:hAnsi="HelveticaNeueLT Std"/>
                <w:sz w:val="20"/>
                <w:szCs w:val="20"/>
              </w:rPr>
            </w:pPr>
          </w:p>
        </w:tc>
        <w:tc>
          <w:tcPr>
            <w:tcW w:w="5812" w:type="dxa"/>
            <w:tcBorders>
              <w:top w:val="nil"/>
              <w:bottom w:val="single" w:sz="4" w:space="0" w:color="auto"/>
            </w:tcBorders>
            <w:shd w:val="clear" w:color="auto" w:fill="auto"/>
          </w:tcPr>
          <w:p w14:paraId="1D91134F" w14:textId="77777777" w:rsidR="00F31CAF" w:rsidRPr="00246F1A" w:rsidRDefault="00F31CAF" w:rsidP="006A4C7F">
            <w:pPr>
              <w:jc w:val="both"/>
              <w:rPr>
                <w:rFonts w:ascii="HelveticaNeueLT Std" w:eastAsia="Times New Roman" w:hAnsi="HelveticaNeueLT Std" w:cs="Arial"/>
                <w:sz w:val="20"/>
                <w:szCs w:val="20"/>
                <w:lang w:eastAsia="es-MX"/>
              </w:rPr>
            </w:pPr>
            <w:r w:rsidRPr="00246F1A">
              <w:rPr>
                <w:rFonts w:ascii="HelveticaNeueLT Std" w:eastAsia="Times New Roman" w:hAnsi="HelveticaNeueLT Std" w:cs="Arial"/>
                <w:sz w:val="20"/>
                <w:szCs w:val="20"/>
                <w:lang w:eastAsia="es-MX"/>
              </w:rPr>
              <w:t>A través del presente Acuerdo se establece:</w:t>
            </w:r>
          </w:p>
          <w:p w14:paraId="37FB3803" w14:textId="77777777" w:rsidR="00F31CAF" w:rsidRPr="00246F1A" w:rsidRDefault="00F31CAF" w:rsidP="006A4C7F">
            <w:pPr>
              <w:jc w:val="both"/>
              <w:rPr>
                <w:rFonts w:ascii="HelveticaNeueLT Std" w:eastAsia="Times New Roman" w:hAnsi="HelveticaNeueLT Std" w:cs="Arial"/>
                <w:sz w:val="20"/>
                <w:szCs w:val="20"/>
                <w:lang w:eastAsia="es-MX"/>
              </w:rPr>
            </w:pPr>
          </w:p>
          <w:p w14:paraId="7CE8B82C" w14:textId="5819E9E3" w:rsidR="00F31CAF" w:rsidRPr="00246F1A" w:rsidRDefault="00F31CAF" w:rsidP="00A66E1A">
            <w:pPr>
              <w:pStyle w:val="Prrafodelista"/>
              <w:numPr>
                <w:ilvl w:val="0"/>
                <w:numId w:val="39"/>
              </w:numPr>
              <w:jc w:val="both"/>
              <w:rPr>
                <w:rFonts w:ascii="HelveticaNeueLT Std" w:eastAsia="Times New Roman" w:hAnsi="HelveticaNeueLT Std" w:cs="Arial"/>
                <w:sz w:val="20"/>
                <w:szCs w:val="20"/>
                <w:lang w:eastAsia="es-MX"/>
              </w:rPr>
            </w:pPr>
            <w:r w:rsidRPr="00246F1A">
              <w:rPr>
                <w:rFonts w:ascii="HelveticaNeueLT Std" w:eastAsia="Times New Roman" w:hAnsi="HelveticaNeueLT Std" w:cs="Arial"/>
                <w:sz w:val="20"/>
                <w:szCs w:val="20"/>
                <w:lang w:eastAsia="es-MX"/>
              </w:rPr>
              <w:t>Se dan a conocer los porcentajes y los montos estimados que recibirá cada entidad federativa del Fondo General de Participaciones y del Fondo de Fomento Municipal, durante el ejercicio fiscal de 2023.</w:t>
            </w:r>
          </w:p>
          <w:p w14:paraId="752E9B81" w14:textId="77777777" w:rsidR="00E02833" w:rsidRPr="00246F1A" w:rsidRDefault="00E02833" w:rsidP="00E02833">
            <w:pPr>
              <w:pStyle w:val="Prrafodelista"/>
              <w:jc w:val="both"/>
              <w:rPr>
                <w:rFonts w:ascii="HelveticaNeueLT Std" w:eastAsia="Times New Roman" w:hAnsi="HelveticaNeueLT Std" w:cs="Arial"/>
                <w:sz w:val="20"/>
                <w:szCs w:val="20"/>
                <w:lang w:eastAsia="es-MX"/>
              </w:rPr>
            </w:pPr>
          </w:p>
          <w:p w14:paraId="1088133A" w14:textId="77777777" w:rsidR="00E02833" w:rsidRPr="00246F1A" w:rsidRDefault="00E02833" w:rsidP="00A66E1A">
            <w:pPr>
              <w:pStyle w:val="Prrafodelista"/>
              <w:numPr>
                <w:ilvl w:val="0"/>
                <w:numId w:val="39"/>
              </w:numPr>
              <w:jc w:val="both"/>
              <w:rPr>
                <w:rFonts w:ascii="HelveticaNeueLT Std" w:eastAsia="Times New Roman" w:hAnsi="HelveticaNeueLT Std" w:cs="Arial"/>
                <w:sz w:val="20"/>
                <w:szCs w:val="20"/>
                <w:lang w:eastAsia="es-MX"/>
              </w:rPr>
            </w:pPr>
            <w:r w:rsidRPr="00246F1A">
              <w:rPr>
                <w:rFonts w:ascii="HelveticaNeueLT Std" w:eastAsia="Times New Roman" w:hAnsi="HelveticaNeueLT Std" w:cs="Arial"/>
                <w:sz w:val="20"/>
                <w:szCs w:val="20"/>
                <w:lang w:eastAsia="es-MX"/>
              </w:rPr>
              <w:t>Las estimaciones de las participaciones correspondientes al Fondo General de Participaciones y al Fondo de Fomento Municipal se realizaron considerando la recaudación federal participable para el año 2023, derivada de la estimación contenida en el artículo 1o. de la Ley de Ingresos de la Federación para el Ejercicio Fiscal de 2023.</w:t>
            </w:r>
          </w:p>
          <w:p w14:paraId="16F18CB7" w14:textId="77777777" w:rsidR="00A66E1A" w:rsidRPr="00246F1A" w:rsidRDefault="00A66E1A" w:rsidP="00A66E1A">
            <w:pPr>
              <w:pStyle w:val="Prrafodelista"/>
              <w:rPr>
                <w:rFonts w:ascii="HelveticaNeueLT Std" w:eastAsia="Times New Roman" w:hAnsi="HelveticaNeueLT Std" w:cs="Arial"/>
                <w:sz w:val="20"/>
                <w:szCs w:val="20"/>
                <w:lang w:eastAsia="es-MX"/>
              </w:rPr>
            </w:pPr>
          </w:p>
          <w:p w14:paraId="1A33363B" w14:textId="551BDF0C" w:rsidR="00A66E1A" w:rsidRPr="00246F1A" w:rsidRDefault="00A66E1A" w:rsidP="00A66E1A">
            <w:pPr>
              <w:pStyle w:val="Prrafodelista"/>
              <w:numPr>
                <w:ilvl w:val="0"/>
                <w:numId w:val="39"/>
              </w:numPr>
              <w:jc w:val="both"/>
              <w:rPr>
                <w:rFonts w:ascii="HelveticaNeueLT Std" w:eastAsia="Times New Roman" w:hAnsi="HelveticaNeueLT Std" w:cs="Arial"/>
                <w:sz w:val="20"/>
                <w:szCs w:val="20"/>
                <w:lang w:eastAsia="es-MX"/>
              </w:rPr>
            </w:pPr>
            <w:r w:rsidRPr="00246F1A">
              <w:rPr>
                <w:rFonts w:ascii="HelveticaNeueLT Std" w:eastAsia="Times New Roman" w:hAnsi="HelveticaNeueLT Std" w:cs="Arial"/>
                <w:sz w:val="20"/>
                <w:szCs w:val="20"/>
                <w:lang w:eastAsia="es-MX"/>
              </w:rPr>
              <w:t xml:space="preserve">Los recursos del </w:t>
            </w:r>
            <w:proofErr w:type="spellStart"/>
            <w:r w:rsidRPr="00246F1A">
              <w:rPr>
                <w:rFonts w:ascii="HelveticaNeueLT Std" w:eastAsia="Times New Roman" w:hAnsi="HelveticaNeueLT Std" w:cs="Arial"/>
                <w:sz w:val="20"/>
                <w:szCs w:val="20"/>
                <w:lang w:eastAsia="es-MX"/>
              </w:rPr>
              <w:t>FAIS</w:t>
            </w:r>
            <w:proofErr w:type="spellEnd"/>
            <w:r w:rsidRPr="00246F1A">
              <w:rPr>
                <w:rFonts w:ascii="HelveticaNeueLT Std" w:eastAsia="Times New Roman" w:hAnsi="HelveticaNeueLT Std" w:cs="Arial"/>
                <w:sz w:val="20"/>
                <w:szCs w:val="20"/>
                <w:lang w:eastAsia="es-MX"/>
              </w:rPr>
              <w:t xml:space="preserve">, en sus dos componentes, FISE y FAISMUN deberán sujetarse al principio de anualidad presupuestaria y ejercerse bajo los criterios generales de responsabilidad hacendaria y financiera, de contabilidad gubernamental, y de fiscalización y </w:t>
            </w:r>
            <w:r w:rsidRPr="00246F1A">
              <w:rPr>
                <w:rFonts w:ascii="HelveticaNeueLT Std" w:eastAsia="Times New Roman" w:hAnsi="HelveticaNeueLT Std" w:cs="Arial"/>
                <w:sz w:val="20"/>
                <w:szCs w:val="20"/>
                <w:lang w:eastAsia="es-MX"/>
              </w:rPr>
              <w:lastRenderedPageBreak/>
              <w:t xml:space="preserve">rendición de cuentas, que establece la Ley de Federal de presupuesto y Responsabilidad </w:t>
            </w:r>
            <w:proofErr w:type="gramStart"/>
            <w:r w:rsidRPr="00246F1A">
              <w:rPr>
                <w:rFonts w:ascii="HelveticaNeueLT Std" w:eastAsia="Times New Roman" w:hAnsi="HelveticaNeueLT Std" w:cs="Arial"/>
                <w:sz w:val="20"/>
                <w:szCs w:val="20"/>
                <w:lang w:eastAsia="es-MX"/>
              </w:rPr>
              <w:t>Hacendaria ,</w:t>
            </w:r>
            <w:proofErr w:type="gramEnd"/>
            <w:r w:rsidRPr="00246F1A">
              <w:rPr>
                <w:rFonts w:ascii="HelveticaNeueLT Std" w:eastAsia="Times New Roman" w:hAnsi="HelveticaNeueLT Std" w:cs="Arial"/>
                <w:sz w:val="20"/>
                <w:szCs w:val="20"/>
                <w:lang w:eastAsia="es-MX"/>
              </w:rPr>
              <w:t xml:space="preserve"> la Ley </w:t>
            </w:r>
          </w:p>
          <w:p w14:paraId="1EC13BCB" w14:textId="77777777" w:rsidR="00A66E1A" w:rsidRPr="00246F1A" w:rsidRDefault="00A66E1A" w:rsidP="00A66E1A">
            <w:pPr>
              <w:pStyle w:val="Prrafodelista"/>
              <w:rPr>
                <w:rFonts w:ascii="HelveticaNeueLT Std" w:eastAsia="Times New Roman" w:hAnsi="HelveticaNeueLT Std" w:cs="Arial"/>
                <w:sz w:val="20"/>
                <w:szCs w:val="20"/>
                <w:lang w:eastAsia="es-MX"/>
              </w:rPr>
            </w:pPr>
          </w:p>
          <w:p w14:paraId="1C42CA63" w14:textId="77777777" w:rsidR="00A66E1A" w:rsidRPr="00246F1A" w:rsidRDefault="00A66E1A" w:rsidP="00A66E1A">
            <w:pPr>
              <w:pStyle w:val="Prrafodelista"/>
              <w:numPr>
                <w:ilvl w:val="0"/>
                <w:numId w:val="39"/>
              </w:numPr>
              <w:jc w:val="both"/>
              <w:rPr>
                <w:rFonts w:ascii="HelveticaNeueLT Std" w:eastAsia="Times New Roman" w:hAnsi="HelveticaNeueLT Std" w:cs="Arial"/>
                <w:sz w:val="20"/>
                <w:szCs w:val="20"/>
                <w:lang w:eastAsia="es-MX"/>
              </w:rPr>
            </w:pPr>
            <w:r w:rsidRPr="00246F1A">
              <w:rPr>
                <w:rFonts w:ascii="HelveticaNeueLT Std" w:eastAsia="Times New Roman" w:hAnsi="HelveticaNeueLT Std" w:cs="Arial"/>
                <w:sz w:val="20"/>
                <w:szCs w:val="20"/>
                <w:lang w:eastAsia="es-MX"/>
              </w:rPr>
              <w:t>Disciplina Financiera de las Entidades Federativas y los Municipios, la Ley General de Contabilidad Gubernamental, la Ley Federal de Austeridad Republicana y la Ley de Fiscalización y Rendición de Cuentas de la Federación.</w:t>
            </w:r>
          </w:p>
          <w:p w14:paraId="495AF1F6" w14:textId="77777777" w:rsidR="00A66E1A" w:rsidRPr="00246F1A" w:rsidRDefault="00A66E1A" w:rsidP="00A66E1A">
            <w:pPr>
              <w:pStyle w:val="Prrafodelista"/>
              <w:rPr>
                <w:rFonts w:ascii="HelveticaNeueLT Std" w:eastAsia="Times New Roman" w:hAnsi="HelveticaNeueLT Std" w:cs="Arial"/>
                <w:sz w:val="20"/>
                <w:szCs w:val="20"/>
                <w:lang w:eastAsia="es-MX"/>
              </w:rPr>
            </w:pPr>
          </w:p>
          <w:p w14:paraId="41013479" w14:textId="77777777" w:rsidR="00A66E1A" w:rsidRPr="00246F1A" w:rsidRDefault="00A66E1A" w:rsidP="00A66E1A">
            <w:pPr>
              <w:pStyle w:val="Prrafodelista"/>
              <w:jc w:val="both"/>
              <w:rPr>
                <w:rFonts w:ascii="HelveticaNeueLT Std" w:eastAsia="Times New Roman" w:hAnsi="HelveticaNeueLT Std" w:cs="Arial"/>
                <w:sz w:val="20"/>
                <w:szCs w:val="20"/>
                <w:lang w:eastAsia="es-MX"/>
              </w:rPr>
            </w:pPr>
            <w:r w:rsidRPr="00246F1A">
              <w:rPr>
                <w:rFonts w:ascii="HelveticaNeueLT Std" w:eastAsia="Times New Roman" w:hAnsi="HelveticaNeueLT Std" w:cs="Arial"/>
                <w:sz w:val="20"/>
                <w:szCs w:val="20"/>
                <w:lang w:eastAsia="es-MX"/>
              </w:rPr>
              <w:t>Deberá considerarse la participación social como principio para la planeación y seguimiento de los recursos, en los términos que establece la Ley General de Desarrollo Social.</w:t>
            </w:r>
          </w:p>
          <w:p w14:paraId="6646D215" w14:textId="77777777" w:rsidR="00A66E1A" w:rsidRPr="00246F1A" w:rsidRDefault="00A66E1A" w:rsidP="00A66E1A">
            <w:pPr>
              <w:pStyle w:val="Prrafodelista"/>
              <w:rPr>
                <w:rFonts w:ascii="HelveticaNeueLT Std" w:eastAsia="Times New Roman" w:hAnsi="HelveticaNeueLT Std" w:cs="Arial"/>
                <w:sz w:val="20"/>
                <w:szCs w:val="20"/>
                <w:lang w:eastAsia="es-MX"/>
              </w:rPr>
            </w:pPr>
          </w:p>
          <w:p w14:paraId="45F65E73" w14:textId="77777777" w:rsidR="00A66E1A" w:rsidRPr="00246F1A" w:rsidRDefault="00A66E1A" w:rsidP="00A66E1A">
            <w:pPr>
              <w:pStyle w:val="Prrafodelista"/>
              <w:numPr>
                <w:ilvl w:val="0"/>
                <w:numId w:val="39"/>
              </w:numPr>
              <w:jc w:val="both"/>
              <w:rPr>
                <w:rFonts w:ascii="HelveticaNeueLT Std" w:eastAsia="Times New Roman" w:hAnsi="HelveticaNeueLT Std" w:cs="Arial"/>
                <w:sz w:val="20"/>
                <w:szCs w:val="20"/>
                <w:lang w:eastAsia="es-MX"/>
              </w:rPr>
            </w:pPr>
            <w:r w:rsidRPr="00246F1A">
              <w:rPr>
                <w:rFonts w:ascii="HelveticaNeueLT Std" w:eastAsia="Times New Roman" w:hAnsi="HelveticaNeueLT Std" w:cs="Arial"/>
                <w:sz w:val="20"/>
                <w:szCs w:val="20"/>
                <w:lang w:eastAsia="es-MX"/>
              </w:rPr>
              <w:t xml:space="preserve">El </w:t>
            </w:r>
            <w:proofErr w:type="spellStart"/>
            <w:r w:rsidRPr="00246F1A">
              <w:rPr>
                <w:rFonts w:ascii="HelveticaNeueLT Std" w:eastAsia="Times New Roman" w:hAnsi="HelveticaNeueLT Std" w:cs="Arial"/>
                <w:sz w:val="20"/>
                <w:szCs w:val="20"/>
                <w:lang w:eastAsia="es-MX"/>
              </w:rPr>
              <w:t>FAIS</w:t>
            </w:r>
            <w:proofErr w:type="spellEnd"/>
            <w:r w:rsidRPr="00246F1A">
              <w:rPr>
                <w:rFonts w:ascii="HelveticaNeueLT Std" w:eastAsia="Times New Roman" w:hAnsi="HelveticaNeueLT Std" w:cs="Arial"/>
                <w:sz w:val="20"/>
                <w:szCs w:val="20"/>
                <w:lang w:eastAsia="es-MX"/>
              </w:rPr>
              <w:t xml:space="preserve"> tiene como objetivo el financiamiento de obras, acciones sociales básicas y a inversiones que beneficien directamente a la población objetivo a fin de reducir el rezago en infraestructura social básica.</w:t>
            </w:r>
          </w:p>
          <w:p w14:paraId="17922E0F" w14:textId="77777777" w:rsidR="00A66E1A" w:rsidRPr="00246F1A" w:rsidRDefault="00A66E1A" w:rsidP="00A66E1A">
            <w:pPr>
              <w:pStyle w:val="Prrafodelista"/>
              <w:jc w:val="both"/>
              <w:rPr>
                <w:rFonts w:ascii="HelveticaNeueLT Std" w:eastAsia="Times New Roman" w:hAnsi="HelveticaNeueLT Std" w:cs="Arial"/>
                <w:sz w:val="20"/>
                <w:szCs w:val="20"/>
                <w:lang w:eastAsia="es-MX"/>
              </w:rPr>
            </w:pPr>
          </w:p>
          <w:p w14:paraId="5E8E3455" w14:textId="77777777" w:rsidR="00A66E1A" w:rsidRPr="00246F1A" w:rsidRDefault="00A66E1A" w:rsidP="00A66E1A">
            <w:pPr>
              <w:pStyle w:val="Prrafodelista"/>
              <w:numPr>
                <w:ilvl w:val="0"/>
                <w:numId w:val="39"/>
              </w:numPr>
              <w:jc w:val="both"/>
              <w:rPr>
                <w:rFonts w:ascii="HelveticaNeueLT Std" w:eastAsia="Times New Roman" w:hAnsi="HelveticaNeueLT Std" w:cs="Arial"/>
                <w:sz w:val="20"/>
                <w:szCs w:val="20"/>
                <w:lang w:eastAsia="es-MX"/>
              </w:rPr>
            </w:pPr>
            <w:r w:rsidRPr="00246F1A">
              <w:rPr>
                <w:rFonts w:ascii="HelveticaNeueLT Std" w:eastAsia="Times New Roman" w:hAnsi="HelveticaNeueLT Std" w:cs="Arial"/>
                <w:sz w:val="20"/>
                <w:szCs w:val="20"/>
                <w:lang w:eastAsia="es-MX"/>
              </w:rPr>
              <w:t xml:space="preserve">Con el objetivo de dar cumplimiento a lo establecido en el artículo 35 de la </w:t>
            </w:r>
            <w:proofErr w:type="spellStart"/>
            <w:r w:rsidRPr="00246F1A">
              <w:rPr>
                <w:rFonts w:ascii="HelveticaNeueLT Std" w:eastAsia="Times New Roman" w:hAnsi="HelveticaNeueLT Std" w:cs="Arial"/>
                <w:sz w:val="20"/>
                <w:szCs w:val="20"/>
                <w:lang w:eastAsia="es-MX"/>
              </w:rPr>
              <w:t>LCF</w:t>
            </w:r>
            <w:proofErr w:type="spellEnd"/>
            <w:r w:rsidRPr="00246F1A">
              <w:rPr>
                <w:rFonts w:ascii="HelveticaNeueLT Std" w:eastAsia="Times New Roman" w:hAnsi="HelveticaNeueLT Std" w:cs="Arial"/>
                <w:sz w:val="20"/>
                <w:szCs w:val="20"/>
                <w:lang w:eastAsia="es-MX"/>
              </w:rPr>
              <w:t xml:space="preserve">, las entidades federativas, previo convenio con la Secretaría de Bienestar con el Gobierno Federal, calcularán las distribuciones </w:t>
            </w:r>
            <w:proofErr w:type="spellStart"/>
            <w:r w:rsidRPr="00246F1A">
              <w:rPr>
                <w:rFonts w:ascii="HelveticaNeueLT Std" w:eastAsia="Times New Roman" w:hAnsi="HelveticaNeueLT Std" w:cs="Arial"/>
                <w:sz w:val="20"/>
                <w:szCs w:val="20"/>
                <w:lang w:eastAsia="es-MX"/>
              </w:rPr>
              <w:t>FAISMUN</w:t>
            </w:r>
            <w:proofErr w:type="spellEnd"/>
            <w:r w:rsidRPr="00246F1A">
              <w:rPr>
                <w:rFonts w:ascii="HelveticaNeueLT Std" w:eastAsia="Times New Roman" w:hAnsi="HelveticaNeueLT Std" w:cs="Arial"/>
                <w:sz w:val="20"/>
                <w:szCs w:val="20"/>
                <w:lang w:eastAsia="es-MX"/>
              </w:rPr>
              <w:t xml:space="preserve">, mismas que deberán publicarse en sus respectivos órganos oficiales de difusión, a más tardar el 31 de enero del ejercicio fiscal aplicable, así como la fórmula y su respectiva metodología, justificando cada elemento. Las entidades federativas deberán contar con una cuenta bancaria productiva específica, en la cual se depositarán los recursos del </w:t>
            </w:r>
            <w:proofErr w:type="spellStart"/>
            <w:r w:rsidRPr="00246F1A">
              <w:rPr>
                <w:rFonts w:ascii="HelveticaNeueLT Std" w:eastAsia="Times New Roman" w:hAnsi="HelveticaNeueLT Std" w:cs="Arial"/>
                <w:sz w:val="20"/>
                <w:szCs w:val="20"/>
                <w:lang w:eastAsia="es-MX"/>
              </w:rPr>
              <w:t>FAIS</w:t>
            </w:r>
            <w:proofErr w:type="spellEnd"/>
            <w:r w:rsidRPr="00246F1A">
              <w:rPr>
                <w:rFonts w:ascii="HelveticaNeueLT Std" w:eastAsia="Times New Roman" w:hAnsi="HelveticaNeueLT Std" w:cs="Arial"/>
                <w:sz w:val="20"/>
                <w:szCs w:val="20"/>
                <w:lang w:eastAsia="es-MX"/>
              </w:rPr>
              <w:t xml:space="preserve">. Las ministraciones de los Recursos </w:t>
            </w:r>
            <w:proofErr w:type="spellStart"/>
            <w:r w:rsidRPr="00246F1A">
              <w:rPr>
                <w:rFonts w:ascii="HelveticaNeueLT Std" w:eastAsia="Times New Roman" w:hAnsi="HelveticaNeueLT Std" w:cs="Arial"/>
                <w:sz w:val="20"/>
                <w:szCs w:val="20"/>
                <w:lang w:eastAsia="es-MX"/>
              </w:rPr>
              <w:t>FAISMUN</w:t>
            </w:r>
            <w:proofErr w:type="spellEnd"/>
            <w:r w:rsidRPr="00246F1A">
              <w:rPr>
                <w:rFonts w:ascii="HelveticaNeueLT Std" w:eastAsia="Times New Roman" w:hAnsi="HelveticaNeueLT Std" w:cs="Arial"/>
                <w:sz w:val="20"/>
                <w:szCs w:val="20"/>
                <w:lang w:eastAsia="es-MX"/>
              </w:rPr>
              <w:t xml:space="preserve"> se realizarán en diez partes. </w:t>
            </w:r>
          </w:p>
          <w:p w14:paraId="78DA1C1F" w14:textId="77777777" w:rsidR="00A66E1A" w:rsidRPr="00246F1A" w:rsidRDefault="00A66E1A" w:rsidP="00A66E1A">
            <w:pPr>
              <w:pStyle w:val="Prrafodelista"/>
              <w:rPr>
                <w:rFonts w:ascii="HelveticaNeueLT Std" w:eastAsia="Times New Roman" w:hAnsi="HelveticaNeueLT Std" w:cs="Arial"/>
                <w:sz w:val="20"/>
                <w:szCs w:val="20"/>
                <w:lang w:eastAsia="es-MX"/>
              </w:rPr>
            </w:pPr>
          </w:p>
          <w:p w14:paraId="5CFD3B42" w14:textId="1262E575" w:rsidR="00A66E1A" w:rsidRPr="00246F1A" w:rsidRDefault="00A66E1A" w:rsidP="00CE62FF">
            <w:pPr>
              <w:pStyle w:val="Prrafodelista"/>
              <w:numPr>
                <w:ilvl w:val="0"/>
                <w:numId w:val="39"/>
              </w:numPr>
              <w:jc w:val="both"/>
              <w:rPr>
                <w:rFonts w:ascii="HelveticaNeueLT Std" w:eastAsia="Times New Roman" w:hAnsi="HelveticaNeueLT Std" w:cs="Arial"/>
                <w:sz w:val="20"/>
                <w:szCs w:val="20"/>
                <w:lang w:eastAsia="es-MX"/>
              </w:rPr>
            </w:pPr>
            <w:r w:rsidRPr="00246F1A">
              <w:rPr>
                <w:rFonts w:ascii="HelveticaNeueLT Std" w:eastAsia="Times New Roman" w:hAnsi="HelveticaNeueLT Std" w:cs="Arial"/>
                <w:sz w:val="20"/>
                <w:szCs w:val="20"/>
                <w:lang w:eastAsia="es-MX"/>
              </w:rPr>
              <w:t xml:space="preserve">En lo referente a los municipios que no disponen de información de pobreza multidimensional 2020, la Entidad deberá presentar su propuesta metodológica </w:t>
            </w:r>
          </w:p>
        </w:tc>
      </w:tr>
      <w:tr w:rsidR="00CE62FF" w:rsidRPr="00CE62FF" w14:paraId="65AB6689" w14:textId="77777777" w:rsidTr="00CE62FF">
        <w:tc>
          <w:tcPr>
            <w:tcW w:w="617" w:type="dxa"/>
            <w:tcBorders>
              <w:top w:val="single" w:sz="4" w:space="0" w:color="auto"/>
              <w:bottom w:val="nil"/>
            </w:tcBorders>
            <w:shd w:val="clear" w:color="auto" w:fill="auto"/>
          </w:tcPr>
          <w:p w14:paraId="603DA96E" w14:textId="77777777" w:rsidR="00CE62FF" w:rsidRPr="00CE62FF" w:rsidRDefault="00CE62FF" w:rsidP="006A4C7F">
            <w:pPr>
              <w:spacing w:line="276" w:lineRule="auto"/>
              <w:jc w:val="center"/>
              <w:rPr>
                <w:rFonts w:ascii="HelveticaNeueLT Std" w:hAnsi="HelveticaNeueLT Std" w:cs="Arial"/>
                <w:b/>
                <w:bCs/>
                <w:sz w:val="20"/>
                <w:szCs w:val="20"/>
              </w:rPr>
            </w:pPr>
          </w:p>
        </w:tc>
        <w:tc>
          <w:tcPr>
            <w:tcW w:w="2127" w:type="dxa"/>
            <w:tcBorders>
              <w:top w:val="single" w:sz="4" w:space="0" w:color="auto"/>
              <w:bottom w:val="nil"/>
            </w:tcBorders>
            <w:shd w:val="clear" w:color="auto" w:fill="auto"/>
          </w:tcPr>
          <w:p w14:paraId="3899BDAF" w14:textId="77777777" w:rsidR="00CE62FF" w:rsidRPr="00CE62FF" w:rsidRDefault="00CE62FF" w:rsidP="006A4C7F">
            <w:pPr>
              <w:spacing w:line="276" w:lineRule="auto"/>
              <w:jc w:val="center"/>
              <w:rPr>
                <w:rFonts w:ascii="HelveticaNeueLT Std" w:hAnsi="HelveticaNeueLT Std" w:cs="Arial"/>
                <w:b/>
                <w:bCs/>
                <w:sz w:val="20"/>
                <w:szCs w:val="20"/>
              </w:rPr>
            </w:pPr>
          </w:p>
        </w:tc>
        <w:tc>
          <w:tcPr>
            <w:tcW w:w="2693" w:type="dxa"/>
            <w:tcBorders>
              <w:top w:val="single" w:sz="4" w:space="0" w:color="auto"/>
              <w:bottom w:val="nil"/>
            </w:tcBorders>
            <w:shd w:val="clear" w:color="auto" w:fill="auto"/>
          </w:tcPr>
          <w:p w14:paraId="7D0EC720" w14:textId="77777777" w:rsidR="00CE62FF" w:rsidRPr="00CE62FF" w:rsidRDefault="00CE62FF" w:rsidP="00F31CA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977" w:type="dxa"/>
            <w:tcBorders>
              <w:top w:val="single" w:sz="4" w:space="0" w:color="auto"/>
              <w:bottom w:val="nil"/>
            </w:tcBorders>
            <w:shd w:val="clear" w:color="auto" w:fill="auto"/>
          </w:tcPr>
          <w:p w14:paraId="3AFA0DB0" w14:textId="77777777" w:rsidR="00CE62FF" w:rsidRPr="00CE62FF" w:rsidRDefault="00CE62FF" w:rsidP="00A66E1A">
            <w:pPr>
              <w:jc w:val="both"/>
              <w:rPr>
                <w:rFonts w:ascii="HelveticaNeueLT Std" w:hAnsi="HelveticaNeueLT Std"/>
                <w:sz w:val="20"/>
                <w:szCs w:val="20"/>
              </w:rPr>
            </w:pPr>
          </w:p>
        </w:tc>
        <w:tc>
          <w:tcPr>
            <w:tcW w:w="5812" w:type="dxa"/>
            <w:tcBorders>
              <w:top w:val="single" w:sz="4" w:space="0" w:color="auto"/>
              <w:bottom w:val="nil"/>
            </w:tcBorders>
            <w:shd w:val="clear" w:color="auto" w:fill="auto"/>
          </w:tcPr>
          <w:p w14:paraId="56A32CC8" w14:textId="77777777" w:rsidR="00CE62FF" w:rsidRPr="00CE62FF" w:rsidRDefault="00CE62FF" w:rsidP="00CE62FF">
            <w:pPr>
              <w:pStyle w:val="Prrafodelista"/>
              <w:jc w:val="both"/>
              <w:rPr>
                <w:rFonts w:ascii="HelveticaNeueLT Std" w:eastAsia="Times New Roman" w:hAnsi="HelveticaNeueLT Std" w:cs="Arial"/>
                <w:sz w:val="20"/>
                <w:szCs w:val="20"/>
                <w:lang w:eastAsia="es-MX"/>
              </w:rPr>
            </w:pPr>
            <w:r w:rsidRPr="00CE62FF">
              <w:rPr>
                <w:rFonts w:ascii="HelveticaNeueLT Std" w:eastAsia="Times New Roman" w:hAnsi="HelveticaNeueLT Std" w:cs="Arial"/>
                <w:sz w:val="20"/>
                <w:szCs w:val="20"/>
                <w:lang w:eastAsia="es-MX"/>
              </w:rPr>
              <w:t>de distribución de recursos a municipios, a Bienestar a través de la Dirección General de Desarrollo Regional de la Secretaría de Bienestar, misma que deberá apegarse a la fórmula descrita en el artículo 34 de la Ley de Coordinación Fiscal.</w:t>
            </w:r>
          </w:p>
          <w:p w14:paraId="51CCBDE2" w14:textId="77777777" w:rsidR="00CE62FF" w:rsidRPr="00CE62FF" w:rsidRDefault="00CE62FF" w:rsidP="00CE62FF">
            <w:pPr>
              <w:pStyle w:val="Prrafodelista"/>
              <w:jc w:val="both"/>
              <w:rPr>
                <w:rFonts w:ascii="HelveticaNeueLT Std" w:eastAsia="Times New Roman" w:hAnsi="HelveticaNeueLT Std" w:cs="Arial"/>
                <w:sz w:val="20"/>
                <w:szCs w:val="20"/>
                <w:lang w:eastAsia="es-MX"/>
              </w:rPr>
            </w:pPr>
          </w:p>
          <w:p w14:paraId="1AC7235F" w14:textId="77777777" w:rsidR="00CE62FF" w:rsidRPr="00CE62FF" w:rsidRDefault="00CE62FF" w:rsidP="00CE62FF">
            <w:pPr>
              <w:pStyle w:val="Prrafodelista"/>
              <w:numPr>
                <w:ilvl w:val="0"/>
                <w:numId w:val="36"/>
              </w:numPr>
              <w:jc w:val="both"/>
              <w:rPr>
                <w:rFonts w:ascii="HelveticaNeueLT Std" w:eastAsia="Times New Roman" w:hAnsi="HelveticaNeueLT Std" w:cs="Arial"/>
                <w:sz w:val="20"/>
                <w:szCs w:val="20"/>
                <w:lang w:eastAsia="es-MX"/>
              </w:rPr>
            </w:pPr>
            <w:r w:rsidRPr="00CE62FF">
              <w:rPr>
                <w:rFonts w:ascii="HelveticaNeueLT Std" w:eastAsia="Times New Roman" w:hAnsi="HelveticaNeueLT Std" w:cs="Arial"/>
                <w:sz w:val="20"/>
                <w:szCs w:val="20"/>
                <w:lang w:eastAsia="es-MX"/>
              </w:rPr>
              <w:t>El presente Acuerdo entrará en vigor al día trece de enero del presente año.</w:t>
            </w:r>
          </w:p>
          <w:p w14:paraId="4766E5BD" w14:textId="77777777" w:rsidR="00CE62FF" w:rsidRDefault="00CE62FF" w:rsidP="00CE62FF">
            <w:pPr>
              <w:pStyle w:val="Prrafodelista"/>
              <w:jc w:val="both"/>
              <w:rPr>
                <w:rFonts w:ascii="HelveticaNeueLT Std" w:eastAsia="Times New Roman" w:hAnsi="HelveticaNeueLT Std" w:cs="Arial"/>
                <w:sz w:val="20"/>
                <w:szCs w:val="20"/>
                <w:lang w:eastAsia="es-MX"/>
              </w:rPr>
            </w:pPr>
            <w:r w:rsidRPr="00CE62FF">
              <w:rPr>
                <w:rFonts w:ascii="HelveticaNeueLT Std" w:eastAsia="Times New Roman" w:hAnsi="HelveticaNeueLT Std" w:cs="Arial"/>
                <w:sz w:val="20"/>
                <w:szCs w:val="20"/>
                <w:lang w:eastAsia="es-MX"/>
              </w:rPr>
              <w:t>Se abroga el "Acuerdo por el que se emiten los Lineamientos del Fondo de Aportaciones para la Infraestructura Social", publicado en el Diario Oficial de la Federación el 25 de enero de 2022; así como todos aquellos Lineamientos, manuales y disposiciones que se opongan a los presentes</w:t>
            </w:r>
            <w:r>
              <w:rPr>
                <w:rFonts w:ascii="HelveticaNeueLT Std" w:eastAsia="Times New Roman" w:hAnsi="HelveticaNeueLT Std" w:cs="Arial"/>
                <w:sz w:val="20"/>
                <w:szCs w:val="20"/>
                <w:lang w:eastAsia="es-MX"/>
              </w:rPr>
              <w:t xml:space="preserve">. </w:t>
            </w:r>
          </w:p>
          <w:p w14:paraId="25EBE48B" w14:textId="21CCC323" w:rsidR="00CE62FF" w:rsidRPr="00CE62FF" w:rsidRDefault="00CE62FF" w:rsidP="00CE62FF">
            <w:pPr>
              <w:pStyle w:val="Prrafodelista"/>
              <w:jc w:val="both"/>
              <w:rPr>
                <w:rFonts w:ascii="HelveticaNeueLT Std" w:eastAsia="Times New Roman" w:hAnsi="HelveticaNeueLT Std" w:cs="Arial"/>
                <w:sz w:val="20"/>
                <w:szCs w:val="20"/>
                <w:lang w:eastAsia="es-MX"/>
              </w:rPr>
            </w:pPr>
          </w:p>
        </w:tc>
      </w:tr>
      <w:tr w:rsidR="00CE62FF" w:rsidRPr="00CE62FF" w14:paraId="1B0959C1" w14:textId="77777777" w:rsidTr="00CE62FF">
        <w:tc>
          <w:tcPr>
            <w:tcW w:w="617" w:type="dxa"/>
            <w:tcBorders>
              <w:top w:val="nil"/>
              <w:bottom w:val="single" w:sz="4" w:space="0" w:color="auto"/>
            </w:tcBorders>
            <w:shd w:val="clear" w:color="auto" w:fill="auto"/>
          </w:tcPr>
          <w:p w14:paraId="4B4E3396" w14:textId="265E72B3" w:rsidR="00CE62FF" w:rsidRPr="00CE62FF" w:rsidRDefault="00CE62FF" w:rsidP="00CE62FF">
            <w:pPr>
              <w:spacing w:line="276" w:lineRule="auto"/>
              <w:jc w:val="center"/>
              <w:rPr>
                <w:rFonts w:ascii="HelveticaNeueLT Std" w:hAnsi="HelveticaNeueLT Std" w:cs="Arial"/>
                <w:b/>
                <w:bCs/>
                <w:sz w:val="20"/>
                <w:szCs w:val="20"/>
              </w:rPr>
            </w:pPr>
            <w:r w:rsidRPr="00CE62FF">
              <w:rPr>
                <w:rFonts w:ascii="HelveticaNeueLT Std" w:hAnsi="HelveticaNeueLT Std" w:cs="Arial"/>
                <w:b/>
                <w:bCs/>
                <w:sz w:val="20"/>
                <w:szCs w:val="20"/>
              </w:rPr>
              <w:t>27</w:t>
            </w:r>
          </w:p>
        </w:tc>
        <w:tc>
          <w:tcPr>
            <w:tcW w:w="2127" w:type="dxa"/>
            <w:tcBorders>
              <w:top w:val="nil"/>
              <w:bottom w:val="single" w:sz="4" w:space="0" w:color="auto"/>
            </w:tcBorders>
            <w:shd w:val="clear" w:color="auto" w:fill="auto"/>
          </w:tcPr>
          <w:p w14:paraId="064390D7" w14:textId="2103C668" w:rsidR="00CE62FF" w:rsidRDefault="00CE62FF" w:rsidP="00CE62FF">
            <w:pPr>
              <w:spacing w:line="276" w:lineRule="auto"/>
              <w:jc w:val="center"/>
              <w:rPr>
                <w:rFonts w:ascii="HelveticaNeueLT Std" w:hAnsi="HelveticaNeueLT Std" w:cs="Arial"/>
                <w:b/>
                <w:bCs/>
                <w:sz w:val="20"/>
                <w:szCs w:val="20"/>
              </w:rPr>
            </w:pPr>
            <w:r w:rsidRPr="00CE62FF">
              <w:rPr>
                <w:rFonts w:ascii="HelveticaNeueLT Std" w:hAnsi="HelveticaNeueLT Std" w:cs="Arial"/>
                <w:b/>
                <w:bCs/>
                <w:sz w:val="20"/>
                <w:szCs w:val="20"/>
              </w:rPr>
              <w:t>30-enero-202</w:t>
            </w:r>
            <w:r w:rsidR="00971906">
              <w:rPr>
                <w:rFonts w:ascii="HelveticaNeueLT Std" w:hAnsi="HelveticaNeueLT Std" w:cs="Arial"/>
                <w:b/>
                <w:bCs/>
                <w:sz w:val="20"/>
                <w:szCs w:val="20"/>
              </w:rPr>
              <w:t>3</w:t>
            </w:r>
          </w:p>
          <w:p w14:paraId="121DE5D3" w14:textId="175B863F" w:rsidR="00AD2F15" w:rsidRPr="00CE62FF" w:rsidRDefault="00AD2F15" w:rsidP="00CE62FF">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Única Sección</w:t>
            </w:r>
          </w:p>
        </w:tc>
        <w:tc>
          <w:tcPr>
            <w:tcW w:w="2693" w:type="dxa"/>
            <w:tcBorders>
              <w:top w:val="nil"/>
              <w:bottom w:val="single" w:sz="4" w:space="0" w:color="auto"/>
            </w:tcBorders>
            <w:shd w:val="clear" w:color="auto" w:fill="auto"/>
          </w:tcPr>
          <w:p w14:paraId="42CA8755" w14:textId="77777777" w:rsidR="00CE62FF" w:rsidRPr="00CE62FF" w:rsidRDefault="00CE62FF" w:rsidP="00CE62F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CE62FF">
              <w:rPr>
                <w:rFonts w:ascii="HelveticaNeueLT Std" w:eastAsia="MS Mincho" w:hAnsi="HelveticaNeueLT Std"/>
                <w:bCs/>
                <w:sz w:val="20"/>
                <w:szCs w:val="20"/>
                <w:lang w:eastAsia="en-US"/>
              </w:rPr>
              <w:t>Poder Ejecutivo Federal</w:t>
            </w:r>
          </w:p>
          <w:p w14:paraId="6EB69940" w14:textId="77777777" w:rsidR="00CE62FF" w:rsidRPr="00CE62FF" w:rsidRDefault="00CE62FF" w:rsidP="00CE62F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20068B73" w14:textId="6E221020" w:rsidR="00CE62FF" w:rsidRPr="00CE62FF" w:rsidRDefault="00CE62FF" w:rsidP="00CE62F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CE62FF">
              <w:rPr>
                <w:rFonts w:ascii="HelveticaNeueLT Std" w:hAnsi="HelveticaNeueLT Std"/>
                <w:bCs/>
                <w:sz w:val="20"/>
                <w:szCs w:val="20"/>
              </w:rPr>
              <w:t>Secretaria de Hacienda y Crédito. Público</w:t>
            </w:r>
          </w:p>
        </w:tc>
        <w:tc>
          <w:tcPr>
            <w:tcW w:w="2977" w:type="dxa"/>
            <w:tcBorders>
              <w:top w:val="nil"/>
              <w:bottom w:val="single" w:sz="4" w:space="0" w:color="auto"/>
            </w:tcBorders>
            <w:shd w:val="clear" w:color="auto" w:fill="auto"/>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CE62FF" w:rsidRPr="00CE62FF" w14:paraId="52C996FB" w14:textId="77777777" w:rsidTr="008D57F7">
              <w:trPr>
                <w:tblCellSpacing w:w="0" w:type="dxa"/>
              </w:trPr>
              <w:tc>
                <w:tcPr>
                  <w:tcW w:w="8832" w:type="dxa"/>
                  <w:shd w:val="clear" w:color="auto" w:fill="FFFFFF"/>
                  <w:vAlign w:val="center"/>
                  <w:hideMark/>
                </w:tcPr>
                <w:p w14:paraId="2BD1A0C6" w14:textId="77777777" w:rsidR="00CE62FF" w:rsidRPr="00CE62FF" w:rsidRDefault="00172907" w:rsidP="00CE62FF">
                  <w:pPr>
                    <w:jc w:val="both"/>
                    <w:rPr>
                      <w:rFonts w:ascii="HelveticaNeueLT Std" w:hAnsi="HelveticaNeueLT Std" w:cs="Arial"/>
                      <w:color w:val="2F2F2F"/>
                      <w:sz w:val="20"/>
                      <w:szCs w:val="20"/>
                      <w:lang w:eastAsia="es-MX"/>
                    </w:rPr>
                  </w:pPr>
                  <w:hyperlink r:id="rId17" w:history="1">
                    <w:r w:rsidR="00CE62FF" w:rsidRPr="00CE62FF">
                      <w:rPr>
                        <w:rFonts w:ascii="HelveticaNeueLT Std" w:hAnsi="HelveticaNeueLT Std"/>
                        <w:b/>
                        <w:bCs/>
                        <w:sz w:val="20"/>
                        <w:szCs w:val="20"/>
                      </w:rPr>
                      <w:t>Acuerdo por el cual se da a conocer el informe sobre la recaudación federal participable y las participaciones federales, así como los procedimientos de cálculo, por el mes de diciembre de 2022.</w:t>
                    </w:r>
                  </w:hyperlink>
                </w:p>
              </w:tc>
              <w:tc>
                <w:tcPr>
                  <w:tcW w:w="6" w:type="dxa"/>
                  <w:shd w:val="clear" w:color="auto" w:fill="FFFFFF"/>
                  <w:vAlign w:val="center"/>
                  <w:hideMark/>
                </w:tcPr>
                <w:p w14:paraId="24119D3B" w14:textId="77777777" w:rsidR="00CE62FF" w:rsidRPr="00CE62FF" w:rsidRDefault="00CE62FF" w:rsidP="00CE62FF">
                  <w:pPr>
                    <w:rPr>
                      <w:rFonts w:ascii="HelveticaNeueLT Std" w:hAnsi="HelveticaNeueLT Std" w:cs="Arial"/>
                      <w:color w:val="2F2F2F"/>
                      <w:sz w:val="20"/>
                      <w:szCs w:val="20"/>
                    </w:rPr>
                  </w:pPr>
                </w:p>
              </w:tc>
            </w:tr>
            <w:tr w:rsidR="00CE62FF" w:rsidRPr="00CE62FF" w14:paraId="4BEEFF77" w14:textId="77777777" w:rsidTr="008D57F7">
              <w:trPr>
                <w:trHeight w:val="180"/>
                <w:tblCellSpacing w:w="0" w:type="dxa"/>
              </w:trPr>
              <w:tc>
                <w:tcPr>
                  <w:tcW w:w="8832" w:type="dxa"/>
                  <w:shd w:val="clear" w:color="auto" w:fill="FFFFFF"/>
                  <w:hideMark/>
                </w:tcPr>
                <w:p w14:paraId="1AB1FE04" w14:textId="77777777" w:rsidR="00CE62FF" w:rsidRPr="00CE62FF" w:rsidRDefault="00CE62FF" w:rsidP="00CE62FF">
                  <w:pPr>
                    <w:jc w:val="both"/>
                    <w:rPr>
                      <w:rFonts w:ascii="HelveticaNeueLT Std" w:hAnsi="HelveticaNeueLT Std" w:cs="Arial"/>
                      <w:color w:val="2F2F2F"/>
                      <w:sz w:val="20"/>
                      <w:szCs w:val="20"/>
                    </w:rPr>
                  </w:pPr>
                  <w:r w:rsidRPr="00CE62FF">
                    <w:rPr>
                      <w:rFonts w:ascii="HelveticaNeueLT Std" w:hAnsi="HelveticaNeueLT Std" w:cs="Arial"/>
                      <w:noProof/>
                      <w:color w:val="2F2F2F"/>
                      <w:sz w:val="20"/>
                      <w:szCs w:val="20"/>
                      <w:lang w:eastAsia="es-MX"/>
                    </w:rPr>
                    <w:drawing>
                      <wp:inline distT="0" distB="0" distL="0" distR="0" wp14:anchorId="2ACB4D0D" wp14:editId="5457B6E0">
                        <wp:extent cx="95250" cy="114300"/>
                        <wp:effectExtent l="0" t="0" r="0" b="0"/>
                        <wp:docPr id="7" name="Imagen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c>
                <w:tcPr>
                  <w:tcW w:w="6" w:type="dxa"/>
                  <w:shd w:val="clear" w:color="auto" w:fill="FFFFFF"/>
                  <w:vAlign w:val="center"/>
                  <w:hideMark/>
                </w:tcPr>
                <w:p w14:paraId="396AA955" w14:textId="77777777" w:rsidR="00CE62FF" w:rsidRPr="00CE62FF" w:rsidRDefault="00CE62FF" w:rsidP="00CE62FF">
                  <w:pPr>
                    <w:rPr>
                      <w:rFonts w:ascii="HelveticaNeueLT Std" w:hAnsi="HelveticaNeueLT Std"/>
                      <w:sz w:val="20"/>
                      <w:szCs w:val="20"/>
                    </w:rPr>
                  </w:pPr>
                </w:p>
              </w:tc>
            </w:tr>
          </w:tbl>
          <w:p w14:paraId="36206C4E" w14:textId="77777777" w:rsidR="00CE62FF" w:rsidRPr="00CE62FF" w:rsidRDefault="00CE62FF" w:rsidP="00CE62FF">
            <w:pPr>
              <w:jc w:val="both"/>
              <w:rPr>
                <w:rFonts w:ascii="HelveticaNeueLT Std" w:hAnsi="HelveticaNeueLT Std"/>
                <w:sz w:val="20"/>
                <w:szCs w:val="20"/>
              </w:rPr>
            </w:pPr>
          </w:p>
        </w:tc>
        <w:tc>
          <w:tcPr>
            <w:tcW w:w="5812" w:type="dxa"/>
            <w:tcBorders>
              <w:top w:val="nil"/>
              <w:bottom w:val="single" w:sz="4" w:space="0" w:color="auto"/>
            </w:tcBorders>
            <w:shd w:val="clear" w:color="auto" w:fill="auto"/>
          </w:tcPr>
          <w:p w14:paraId="080012C7" w14:textId="77777777" w:rsidR="00CE62FF" w:rsidRPr="00CE62FF" w:rsidRDefault="00CE62FF" w:rsidP="00CE62FF">
            <w:pPr>
              <w:jc w:val="both"/>
              <w:rPr>
                <w:rFonts w:ascii="HelveticaNeueLT Std" w:eastAsia="Times New Roman" w:hAnsi="HelveticaNeueLT Std" w:cs="Arial"/>
                <w:sz w:val="20"/>
                <w:szCs w:val="20"/>
                <w:lang w:eastAsia="es-MX"/>
              </w:rPr>
            </w:pPr>
            <w:r w:rsidRPr="00CE62FF">
              <w:rPr>
                <w:rFonts w:ascii="HelveticaNeueLT Std" w:eastAsia="Times New Roman" w:hAnsi="HelveticaNeueLT Std" w:cs="Arial"/>
                <w:sz w:val="20"/>
                <w:szCs w:val="20"/>
                <w:lang w:eastAsia="es-MX"/>
              </w:rPr>
              <w:t xml:space="preserve">A través del presente Acuerdo, se da a conocer: </w:t>
            </w:r>
          </w:p>
          <w:p w14:paraId="05DD00DD" w14:textId="77777777" w:rsidR="00CE62FF" w:rsidRPr="00CE62FF" w:rsidRDefault="00CE62FF" w:rsidP="00CE62FF">
            <w:pPr>
              <w:jc w:val="both"/>
              <w:rPr>
                <w:rFonts w:ascii="HelveticaNeueLT Std" w:eastAsia="Times New Roman" w:hAnsi="HelveticaNeueLT Std" w:cs="Arial"/>
                <w:sz w:val="20"/>
                <w:szCs w:val="20"/>
                <w:lang w:eastAsia="es-MX"/>
              </w:rPr>
            </w:pPr>
          </w:p>
          <w:p w14:paraId="14E7C8A7" w14:textId="1C93A6F3" w:rsidR="00246F1A" w:rsidRPr="00C16FAF" w:rsidRDefault="00CE62FF" w:rsidP="00C16FAF">
            <w:pPr>
              <w:pStyle w:val="Prrafodelista"/>
              <w:numPr>
                <w:ilvl w:val="0"/>
                <w:numId w:val="23"/>
              </w:numPr>
              <w:jc w:val="both"/>
              <w:rPr>
                <w:rFonts w:ascii="HelveticaNeueLT Std" w:eastAsia="Times New Roman" w:hAnsi="HelveticaNeueLT Std" w:cs="Arial"/>
                <w:sz w:val="20"/>
                <w:szCs w:val="20"/>
                <w:lang w:eastAsia="es-MX"/>
              </w:rPr>
            </w:pPr>
            <w:r w:rsidRPr="00CE62FF">
              <w:rPr>
                <w:rFonts w:ascii="HelveticaNeueLT Std" w:eastAsia="Times New Roman" w:hAnsi="HelveticaNeueLT Std" w:cs="Arial"/>
                <w:sz w:val="20"/>
                <w:szCs w:val="20"/>
                <w:lang w:eastAsia="es-MX"/>
              </w:rPr>
              <w:t xml:space="preserve">La recaudación federal participable de noviembre de 2022, las participaciones en ingresos federales por el mes de diciembre de 2022, así como el procedimiento seguido en la determinación e integración de las mismas, por entidades federativas y, en su caso, por municipios. Las cifras correspondientes al mes de diciembre de 2022 no incluyen deducciones derivadas de compromisos financieros contraídos por las entidades federativas. </w:t>
            </w:r>
            <w:r w:rsidRPr="00C16FAF">
              <w:rPr>
                <w:rFonts w:ascii="HelveticaNeueLT Std" w:eastAsia="Times New Roman" w:hAnsi="HelveticaNeueLT Std" w:cs="Arial"/>
                <w:sz w:val="20"/>
                <w:szCs w:val="20"/>
                <w:lang w:eastAsia="es-MX"/>
              </w:rPr>
              <w:t>Las participaciones de los fondos y otros conceptos participables, señalados en el numeral primero de este Acuerdo, así como los montos que finalmente reciba cada entidad federativa, pueden verse modificados por la variación de los ingresos efectivamente captados, por el cambio de los coeficientes y, en su caso, por las diferencias derivadas de los ajustes a los pagos provisionales y de los ajustes correspondientes al ejercicio fiscal de 2022.</w:t>
            </w:r>
          </w:p>
        </w:tc>
      </w:tr>
    </w:tbl>
    <w:p w14:paraId="75555DA6" w14:textId="77777777" w:rsidR="006A4C7F" w:rsidRPr="00CE62FF" w:rsidRDefault="006A4C7F" w:rsidP="006A4C7F">
      <w:pPr>
        <w:jc w:val="center"/>
        <w:rPr>
          <w:rFonts w:ascii="HelveticaNeueLT Std" w:hAnsi="HelveticaNeueLT Std"/>
          <w:sz w:val="20"/>
          <w:szCs w:val="20"/>
        </w:rPr>
      </w:pPr>
    </w:p>
    <w:p w14:paraId="64A0A8FC" w14:textId="11A432FE" w:rsidR="00761C23" w:rsidRPr="00CE62FF" w:rsidRDefault="00761C23" w:rsidP="00FB5F5E">
      <w:pPr>
        <w:rPr>
          <w:rFonts w:ascii="HelveticaNeueLT Std" w:eastAsia="Times New Roman" w:hAnsi="HelveticaNeueLT Std" w:cs="Arial"/>
          <w:sz w:val="20"/>
          <w:szCs w:val="20"/>
          <w:lang w:eastAsia="es-MX"/>
        </w:rPr>
      </w:pPr>
    </w:p>
    <w:sectPr w:rsidR="00761C23" w:rsidRPr="00CE62FF" w:rsidSect="00DC256E">
      <w:headerReference w:type="default" r:id="rId18"/>
      <w:footerReference w:type="default" r:id="rId19"/>
      <w:pgSz w:w="15840" w:h="12240" w:orient="landscape"/>
      <w:pgMar w:top="1608" w:right="1560" w:bottom="1418" w:left="24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BC195" w14:textId="77777777" w:rsidR="00172907" w:rsidRDefault="00172907" w:rsidP="00FA6D75">
      <w:r>
        <w:separator/>
      </w:r>
    </w:p>
  </w:endnote>
  <w:endnote w:type="continuationSeparator" w:id="0">
    <w:p w14:paraId="78BD4DAB" w14:textId="77777777" w:rsidR="00172907" w:rsidRDefault="00172907"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Gotham Boo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D4A9F" w14:textId="66E291A5" w:rsidR="00121717" w:rsidRPr="002A6630" w:rsidRDefault="004F65F3" w:rsidP="002A6630">
    <w:pPr>
      <w:pStyle w:val="Piedepgina"/>
      <w:ind w:left="-1560" w:right="-888"/>
      <w:jc w:val="right"/>
      <w:rPr>
        <w:rFonts w:ascii="Arial" w:hAnsi="Arial" w:cs="Arial"/>
        <w:b/>
        <w:sz w:val="20"/>
        <w:szCs w:val="20"/>
      </w:rPr>
    </w:pPr>
    <w:r>
      <w:rPr>
        <w:rFonts w:ascii="Arial" w:hAnsi="Arial" w:cs="Arial"/>
        <w:b/>
        <w:sz w:val="20"/>
        <w:szCs w:val="20"/>
      </w:rPr>
      <w:t>ESL</w:t>
    </w:r>
    <w:r w:rsidR="00121717" w:rsidRPr="002A6630">
      <w:rPr>
        <w:rFonts w:ascii="Arial" w:hAnsi="Arial" w:cs="Arial"/>
        <w:b/>
        <w:sz w:val="20"/>
        <w:szCs w:val="20"/>
      </w:rPr>
      <w:t>/</w:t>
    </w:r>
    <w:r w:rsidR="0047799F">
      <w:rPr>
        <w:rFonts w:ascii="Arial" w:hAnsi="Arial" w:cs="Arial"/>
        <w:b/>
        <w:sz w:val="20"/>
        <w:szCs w:val="20"/>
      </w:rPr>
      <w:t>RRM</w:t>
    </w:r>
    <w:r w:rsidR="00121717" w:rsidRPr="002A6630">
      <w:rPr>
        <w:rFonts w:ascii="Arial" w:hAnsi="Arial" w:cs="Arial"/>
        <w:b/>
        <w:sz w:val="20"/>
        <w:szCs w:val="20"/>
      </w:rPr>
      <w:t>/</w:t>
    </w:r>
    <w:r w:rsidR="0047799F">
      <w:rPr>
        <w:rFonts w:ascii="Arial" w:hAnsi="Arial" w:cs="Arial"/>
        <w:b/>
        <w:sz w:val="20"/>
        <w:szCs w:val="20"/>
      </w:rPr>
      <w:t>JLNV</w:t>
    </w:r>
    <w:r w:rsidR="00121717" w:rsidRPr="002A6630">
      <w:rPr>
        <w:rFonts w:ascii="Arial" w:hAnsi="Arial" w:cs="Arial"/>
        <w:b/>
        <w:sz w:val="20"/>
        <w:szCs w:val="20"/>
      </w:rPr>
      <w:t xml:space="preserve">      </w:t>
    </w:r>
    <w:r w:rsidR="00121717">
      <w:rPr>
        <w:rFonts w:ascii="Arial" w:hAnsi="Arial" w:cs="Arial"/>
        <w:b/>
        <w:sz w:val="20"/>
        <w:szCs w:val="20"/>
      </w:rPr>
      <w:t xml:space="preserve">                       </w:t>
    </w:r>
    <w:r w:rsidR="00121717" w:rsidRPr="002A6630">
      <w:rPr>
        <w:rFonts w:ascii="Arial" w:hAnsi="Arial" w:cs="Arial"/>
        <w:b/>
        <w:sz w:val="20"/>
        <w:szCs w:val="20"/>
      </w:rPr>
      <w:t xml:space="preserve">                                                                                 </w:t>
    </w:r>
    <w:r w:rsidR="00121717">
      <w:rPr>
        <w:rFonts w:ascii="Arial" w:hAnsi="Arial" w:cs="Arial"/>
        <w:b/>
        <w:sz w:val="20"/>
        <w:szCs w:val="20"/>
      </w:rPr>
      <w:t xml:space="preserve">  </w:t>
    </w:r>
    <w:r w:rsidR="00121717" w:rsidRPr="002A6630">
      <w:rPr>
        <w:rFonts w:ascii="Arial" w:hAnsi="Arial" w:cs="Arial"/>
        <w:b/>
        <w:sz w:val="20"/>
        <w:szCs w:val="20"/>
      </w:rPr>
      <w:t xml:space="preserve">                                                                                     </w:t>
    </w:r>
    <w:sdt>
      <w:sdtPr>
        <w:rPr>
          <w:rFonts w:ascii="Arial" w:hAnsi="Arial" w:cs="Arial"/>
          <w:b/>
          <w:sz w:val="20"/>
          <w:szCs w:val="20"/>
        </w:rPr>
        <w:id w:val="-1127848310"/>
        <w:docPartObj>
          <w:docPartGallery w:val="Page Numbers (Bottom of Page)"/>
          <w:docPartUnique/>
        </w:docPartObj>
      </w:sdtPr>
      <w:sdtEndPr/>
      <w:sdtContent>
        <w:sdt>
          <w:sdtPr>
            <w:rPr>
              <w:rFonts w:ascii="Arial" w:hAnsi="Arial" w:cs="Arial"/>
              <w:b/>
              <w:sz w:val="20"/>
              <w:szCs w:val="20"/>
            </w:rPr>
            <w:id w:val="154264564"/>
            <w:docPartObj>
              <w:docPartGallery w:val="Page Numbers (Top of Page)"/>
              <w:docPartUnique/>
            </w:docPartObj>
          </w:sdtPr>
          <w:sdtEndPr/>
          <w:sdtContent>
            <w:r w:rsidR="00121717" w:rsidRPr="002A6630">
              <w:rPr>
                <w:rFonts w:ascii="Arial" w:hAnsi="Arial" w:cs="Arial"/>
                <w:b/>
                <w:sz w:val="20"/>
                <w:szCs w:val="20"/>
                <w:lang w:val="es-ES"/>
              </w:rPr>
              <w:t xml:space="preserve">Página </w:t>
            </w:r>
            <w:r w:rsidR="00121717" w:rsidRPr="002A6630">
              <w:rPr>
                <w:rFonts w:ascii="Arial" w:hAnsi="Arial" w:cs="Arial"/>
                <w:b/>
                <w:bCs/>
                <w:sz w:val="20"/>
                <w:szCs w:val="20"/>
              </w:rPr>
              <w:fldChar w:fldCharType="begin"/>
            </w:r>
            <w:r w:rsidR="00121717" w:rsidRPr="002A6630">
              <w:rPr>
                <w:rFonts w:ascii="Arial" w:hAnsi="Arial" w:cs="Arial"/>
                <w:b/>
                <w:bCs/>
                <w:sz w:val="20"/>
                <w:szCs w:val="20"/>
              </w:rPr>
              <w:instrText>PAGE</w:instrText>
            </w:r>
            <w:r w:rsidR="00121717" w:rsidRPr="002A6630">
              <w:rPr>
                <w:rFonts w:ascii="Arial" w:hAnsi="Arial" w:cs="Arial"/>
                <w:b/>
                <w:bCs/>
                <w:sz w:val="20"/>
                <w:szCs w:val="20"/>
              </w:rPr>
              <w:fldChar w:fldCharType="separate"/>
            </w:r>
            <w:r w:rsidR="00971906">
              <w:rPr>
                <w:rFonts w:ascii="Arial" w:hAnsi="Arial" w:cs="Arial"/>
                <w:b/>
                <w:bCs/>
                <w:noProof/>
                <w:sz w:val="20"/>
                <w:szCs w:val="20"/>
              </w:rPr>
              <w:t>2</w:t>
            </w:r>
            <w:r w:rsidR="00121717" w:rsidRPr="002A6630">
              <w:rPr>
                <w:rFonts w:ascii="Arial" w:hAnsi="Arial" w:cs="Arial"/>
                <w:b/>
                <w:bCs/>
                <w:sz w:val="20"/>
                <w:szCs w:val="20"/>
              </w:rPr>
              <w:fldChar w:fldCharType="end"/>
            </w:r>
            <w:r w:rsidR="00121717" w:rsidRPr="002A6630">
              <w:rPr>
                <w:rFonts w:ascii="Arial" w:hAnsi="Arial" w:cs="Arial"/>
                <w:b/>
                <w:sz w:val="20"/>
                <w:szCs w:val="20"/>
                <w:lang w:val="es-ES"/>
              </w:rPr>
              <w:t xml:space="preserve"> de </w:t>
            </w:r>
            <w:r w:rsidR="00121717" w:rsidRPr="002A6630">
              <w:rPr>
                <w:rFonts w:ascii="Arial" w:hAnsi="Arial" w:cs="Arial"/>
                <w:b/>
                <w:bCs/>
                <w:sz w:val="20"/>
                <w:szCs w:val="20"/>
              </w:rPr>
              <w:fldChar w:fldCharType="begin"/>
            </w:r>
            <w:r w:rsidR="00121717" w:rsidRPr="002A6630">
              <w:rPr>
                <w:rFonts w:ascii="Arial" w:hAnsi="Arial" w:cs="Arial"/>
                <w:b/>
                <w:bCs/>
                <w:sz w:val="20"/>
                <w:szCs w:val="20"/>
              </w:rPr>
              <w:instrText>NUMPAGES</w:instrText>
            </w:r>
            <w:r w:rsidR="00121717" w:rsidRPr="002A6630">
              <w:rPr>
                <w:rFonts w:ascii="Arial" w:hAnsi="Arial" w:cs="Arial"/>
                <w:b/>
                <w:bCs/>
                <w:sz w:val="20"/>
                <w:szCs w:val="20"/>
              </w:rPr>
              <w:fldChar w:fldCharType="separate"/>
            </w:r>
            <w:r w:rsidR="00971906">
              <w:rPr>
                <w:rFonts w:ascii="Arial" w:hAnsi="Arial" w:cs="Arial"/>
                <w:b/>
                <w:bCs/>
                <w:noProof/>
                <w:sz w:val="20"/>
                <w:szCs w:val="20"/>
              </w:rPr>
              <w:t>4</w:t>
            </w:r>
            <w:r w:rsidR="00121717" w:rsidRPr="002A6630">
              <w:rPr>
                <w:rFonts w:ascii="Arial" w:hAnsi="Arial" w:cs="Arial"/>
                <w:b/>
                <w:bCs/>
                <w:sz w:val="20"/>
                <w:szCs w:val="20"/>
              </w:rPr>
              <w:fldChar w:fldCharType="end"/>
            </w:r>
          </w:sdtContent>
        </w:sdt>
      </w:sdtContent>
    </w:sdt>
  </w:p>
  <w:p w14:paraId="60C4948B" w14:textId="77777777" w:rsidR="00121717" w:rsidRPr="003A31A8" w:rsidRDefault="00121717" w:rsidP="007179EC">
    <w:pPr>
      <w:pStyle w:val="Piedepgina"/>
      <w:ind w:right="-604" w:hanging="1418"/>
      <w:rPr>
        <w:rFonts w:ascii="Gotham Book" w:hAnsi="Gotham Book" w:hint="eastAsia"/>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BE617" w14:textId="77777777" w:rsidR="00172907" w:rsidRDefault="00172907" w:rsidP="00FA6D75">
      <w:r>
        <w:separator/>
      </w:r>
    </w:p>
  </w:footnote>
  <w:footnote w:type="continuationSeparator" w:id="0">
    <w:p w14:paraId="2B427455" w14:textId="77777777" w:rsidR="00172907" w:rsidRDefault="00172907" w:rsidP="00FA6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C6B66" w14:textId="77777777" w:rsidR="00A66E1A" w:rsidRPr="000D4D13" w:rsidRDefault="00A66E1A" w:rsidP="00A66E1A">
    <w:pPr>
      <w:pStyle w:val="Ttulo"/>
      <w:tabs>
        <w:tab w:val="center" w:pos="5935"/>
        <w:tab w:val="left" w:pos="8830"/>
      </w:tabs>
      <w:spacing w:before="0" w:after="0" w:line="276" w:lineRule="auto"/>
      <w:rPr>
        <w:rFonts w:ascii="HelveticaNeueLT Std" w:hAnsi="HelveticaNeueLT Std"/>
        <w:sz w:val="20"/>
        <w:szCs w:val="20"/>
      </w:rPr>
    </w:pPr>
    <w:r>
      <w:rPr>
        <w:rFonts w:ascii="HelveticaNeueLT Std" w:hAnsi="HelveticaNeueLT Std"/>
        <w:sz w:val="20"/>
        <w:szCs w:val="20"/>
      </w:rPr>
      <w:t>S</w:t>
    </w:r>
    <w:r w:rsidRPr="000D4D13">
      <w:rPr>
        <w:rFonts w:ascii="HelveticaNeueLT Std" w:hAnsi="HelveticaNeueLT Std"/>
        <w:sz w:val="20"/>
        <w:szCs w:val="20"/>
      </w:rPr>
      <w:t>inopsis</w:t>
    </w:r>
  </w:p>
  <w:p w14:paraId="0444566D" w14:textId="77777777" w:rsidR="00A66E1A" w:rsidRPr="000D4D13" w:rsidRDefault="00A66E1A" w:rsidP="00A66E1A">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Diario Oficial de la Federación</w:t>
    </w:r>
  </w:p>
  <w:p w14:paraId="3BEF0BE0" w14:textId="77777777" w:rsidR="00A66E1A" w:rsidRDefault="00A66E1A" w:rsidP="00A66E1A">
    <w:pPr>
      <w:jc w:val="center"/>
      <w:rPr>
        <w:rFonts w:ascii="HelveticaNeueLT Std" w:hAnsi="HelveticaNeueLT Std" w:cs="Arial"/>
        <w:b/>
        <w:bCs/>
        <w:sz w:val="20"/>
        <w:szCs w:val="20"/>
      </w:rPr>
    </w:pPr>
    <w:r>
      <w:rPr>
        <w:rFonts w:ascii="HelveticaNeueLT Std" w:hAnsi="HelveticaNeueLT Std" w:cs="Arial"/>
        <w:b/>
        <w:bCs/>
        <w:sz w:val="20"/>
        <w:szCs w:val="20"/>
      </w:rPr>
      <w:t xml:space="preserve">Período enero </w:t>
    </w:r>
    <w:r w:rsidRPr="000D4D13">
      <w:rPr>
        <w:rFonts w:ascii="HelveticaNeueLT Std" w:hAnsi="HelveticaNeueLT Std" w:cs="Arial"/>
        <w:b/>
        <w:bCs/>
        <w:sz w:val="20"/>
        <w:szCs w:val="20"/>
      </w:rPr>
      <w:t>de 20</w:t>
    </w:r>
    <w:r>
      <w:rPr>
        <w:rFonts w:ascii="HelveticaNeueLT Std" w:hAnsi="HelveticaNeueLT Std" w:cs="Arial"/>
        <w:b/>
        <w:bCs/>
        <w:sz w:val="20"/>
        <w:szCs w:val="20"/>
      </w:rPr>
      <w:t>23</w:t>
    </w:r>
  </w:p>
  <w:p w14:paraId="421114F4" w14:textId="77777777" w:rsidR="00CE790C" w:rsidRPr="00CE790C" w:rsidRDefault="00CE790C" w:rsidP="00CE790C">
    <w:pPr>
      <w:pStyle w:val="Encabezado"/>
      <w:jc w:val="center"/>
      <w:rPr>
        <w:rFonts w:ascii="HelveticaNeueLT Std Lt" w:hAnsi="HelveticaNeueLT Std Lt" w:cs="Arial"/>
        <w:b/>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 style="width:7.5pt;height:7.5pt;visibility:visible;mso-wrap-style:square" o:bullet="t">
        <v:imagedata r:id="rId1" o:title=""/>
      </v:shape>
    </w:pict>
  </w:numPicBullet>
  <w:abstractNum w:abstractNumId="0" w15:restartNumberingAfterBreak="0">
    <w:nsid w:val="000D25C3"/>
    <w:multiLevelType w:val="hybridMultilevel"/>
    <w:tmpl w:val="B81A3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781CA4"/>
    <w:multiLevelType w:val="hybridMultilevel"/>
    <w:tmpl w:val="1A2EBCE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9C17B1"/>
    <w:multiLevelType w:val="hybridMultilevel"/>
    <w:tmpl w:val="26723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23665A"/>
    <w:multiLevelType w:val="hybridMultilevel"/>
    <w:tmpl w:val="067AD81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607DBA"/>
    <w:multiLevelType w:val="hybridMultilevel"/>
    <w:tmpl w:val="524EFC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895D56"/>
    <w:multiLevelType w:val="hybridMultilevel"/>
    <w:tmpl w:val="00481042"/>
    <w:lvl w:ilvl="0" w:tplc="34586536">
      <w:start w:val="1"/>
      <w:numFmt w:val="bullet"/>
      <w:lvlText w:val=""/>
      <w:lvlPicBulletId w:val="0"/>
      <w:lvlJc w:val="left"/>
      <w:pPr>
        <w:tabs>
          <w:tab w:val="num" w:pos="720"/>
        </w:tabs>
        <w:ind w:left="720" w:hanging="360"/>
      </w:pPr>
      <w:rPr>
        <w:rFonts w:ascii="Symbol" w:hAnsi="Symbol" w:hint="default"/>
      </w:rPr>
    </w:lvl>
    <w:lvl w:ilvl="1" w:tplc="2E6EBA54" w:tentative="1">
      <w:start w:val="1"/>
      <w:numFmt w:val="bullet"/>
      <w:lvlText w:val=""/>
      <w:lvlJc w:val="left"/>
      <w:pPr>
        <w:tabs>
          <w:tab w:val="num" w:pos="1440"/>
        </w:tabs>
        <w:ind w:left="1440" w:hanging="360"/>
      </w:pPr>
      <w:rPr>
        <w:rFonts w:ascii="Symbol" w:hAnsi="Symbol" w:hint="default"/>
      </w:rPr>
    </w:lvl>
    <w:lvl w:ilvl="2" w:tplc="DED4E8E0" w:tentative="1">
      <w:start w:val="1"/>
      <w:numFmt w:val="bullet"/>
      <w:lvlText w:val=""/>
      <w:lvlJc w:val="left"/>
      <w:pPr>
        <w:tabs>
          <w:tab w:val="num" w:pos="2160"/>
        </w:tabs>
        <w:ind w:left="2160" w:hanging="360"/>
      </w:pPr>
      <w:rPr>
        <w:rFonts w:ascii="Symbol" w:hAnsi="Symbol" w:hint="default"/>
      </w:rPr>
    </w:lvl>
    <w:lvl w:ilvl="3" w:tplc="82B4D34E" w:tentative="1">
      <w:start w:val="1"/>
      <w:numFmt w:val="bullet"/>
      <w:lvlText w:val=""/>
      <w:lvlJc w:val="left"/>
      <w:pPr>
        <w:tabs>
          <w:tab w:val="num" w:pos="2880"/>
        </w:tabs>
        <w:ind w:left="2880" w:hanging="360"/>
      </w:pPr>
      <w:rPr>
        <w:rFonts w:ascii="Symbol" w:hAnsi="Symbol" w:hint="default"/>
      </w:rPr>
    </w:lvl>
    <w:lvl w:ilvl="4" w:tplc="DC4A8282" w:tentative="1">
      <w:start w:val="1"/>
      <w:numFmt w:val="bullet"/>
      <w:lvlText w:val=""/>
      <w:lvlJc w:val="left"/>
      <w:pPr>
        <w:tabs>
          <w:tab w:val="num" w:pos="3600"/>
        </w:tabs>
        <w:ind w:left="3600" w:hanging="360"/>
      </w:pPr>
      <w:rPr>
        <w:rFonts w:ascii="Symbol" w:hAnsi="Symbol" w:hint="default"/>
      </w:rPr>
    </w:lvl>
    <w:lvl w:ilvl="5" w:tplc="40B85D5A" w:tentative="1">
      <w:start w:val="1"/>
      <w:numFmt w:val="bullet"/>
      <w:lvlText w:val=""/>
      <w:lvlJc w:val="left"/>
      <w:pPr>
        <w:tabs>
          <w:tab w:val="num" w:pos="4320"/>
        </w:tabs>
        <w:ind w:left="4320" w:hanging="360"/>
      </w:pPr>
      <w:rPr>
        <w:rFonts w:ascii="Symbol" w:hAnsi="Symbol" w:hint="default"/>
      </w:rPr>
    </w:lvl>
    <w:lvl w:ilvl="6" w:tplc="BBDED49E" w:tentative="1">
      <w:start w:val="1"/>
      <w:numFmt w:val="bullet"/>
      <w:lvlText w:val=""/>
      <w:lvlJc w:val="left"/>
      <w:pPr>
        <w:tabs>
          <w:tab w:val="num" w:pos="5040"/>
        </w:tabs>
        <w:ind w:left="5040" w:hanging="360"/>
      </w:pPr>
      <w:rPr>
        <w:rFonts w:ascii="Symbol" w:hAnsi="Symbol" w:hint="default"/>
      </w:rPr>
    </w:lvl>
    <w:lvl w:ilvl="7" w:tplc="4CDACF38" w:tentative="1">
      <w:start w:val="1"/>
      <w:numFmt w:val="bullet"/>
      <w:lvlText w:val=""/>
      <w:lvlJc w:val="left"/>
      <w:pPr>
        <w:tabs>
          <w:tab w:val="num" w:pos="5760"/>
        </w:tabs>
        <w:ind w:left="5760" w:hanging="360"/>
      </w:pPr>
      <w:rPr>
        <w:rFonts w:ascii="Symbol" w:hAnsi="Symbol" w:hint="default"/>
      </w:rPr>
    </w:lvl>
    <w:lvl w:ilvl="8" w:tplc="282EAF1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BE57D6B"/>
    <w:multiLevelType w:val="hybridMultilevel"/>
    <w:tmpl w:val="9014CA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8D2755"/>
    <w:multiLevelType w:val="hybridMultilevel"/>
    <w:tmpl w:val="31F26F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CD73B2A"/>
    <w:multiLevelType w:val="hybridMultilevel"/>
    <w:tmpl w:val="D54E8F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D06E94"/>
    <w:multiLevelType w:val="hybridMultilevel"/>
    <w:tmpl w:val="C584F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5D65BE"/>
    <w:multiLevelType w:val="hybridMultilevel"/>
    <w:tmpl w:val="E3666A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B720E74"/>
    <w:multiLevelType w:val="hybridMultilevel"/>
    <w:tmpl w:val="32929CC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DCD7BD2"/>
    <w:multiLevelType w:val="hybridMultilevel"/>
    <w:tmpl w:val="14A4303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513A79"/>
    <w:multiLevelType w:val="hybridMultilevel"/>
    <w:tmpl w:val="D45E96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C91510"/>
    <w:multiLevelType w:val="hybridMultilevel"/>
    <w:tmpl w:val="98DA5E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5B4B02"/>
    <w:multiLevelType w:val="hybridMultilevel"/>
    <w:tmpl w:val="F7EA67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9844366"/>
    <w:multiLevelType w:val="hybridMultilevel"/>
    <w:tmpl w:val="DF1CE13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481050"/>
    <w:multiLevelType w:val="hybridMultilevel"/>
    <w:tmpl w:val="129675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9056BE"/>
    <w:multiLevelType w:val="hybridMultilevel"/>
    <w:tmpl w:val="B41076B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3345D4C"/>
    <w:multiLevelType w:val="hybridMultilevel"/>
    <w:tmpl w:val="020CFE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5226BD5"/>
    <w:multiLevelType w:val="hybridMultilevel"/>
    <w:tmpl w:val="367483EE"/>
    <w:lvl w:ilvl="0" w:tplc="23640E98">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1" w15:restartNumberingAfterBreak="0">
    <w:nsid w:val="47BE75D6"/>
    <w:multiLevelType w:val="hybridMultilevel"/>
    <w:tmpl w:val="6986C1E2"/>
    <w:lvl w:ilvl="0" w:tplc="080A000B">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CEF436A"/>
    <w:multiLevelType w:val="hybridMultilevel"/>
    <w:tmpl w:val="1F229F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0865F32"/>
    <w:multiLevelType w:val="hybridMultilevel"/>
    <w:tmpl w:val="3FE0E84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C2E2777"/>
    <w:multiLevelType w:val="hybridMultilevel"/>
    <w:tmpl w:val="8E9A25D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14A1BA0"/>
    <w:multiLevelType w:val="hybridMultilevel"/>
    <w:tmpl w:val="FCE449F4"/>
    <w:lvl w:ilvl="0" w:tplc="5BDA263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F0536B"/>
    <w:multiLevelType w:val="hybridMultilevel"/>
    <w:tmpl w:val="799273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3DA7BDF"/>
    <w:multiLevelType w:val="hybridMultilevel"/>
    <w:tmpl w:val="FC1A31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4CC2BE2"/>
    <w:multiLevelType w:val="hybridMultilevel"/>
    <w:tmpl w:val="B4B409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5C166AE"/>
    <w:multiLevelType w:val="hybridMultilevel"/>
    <w:tmpl w:val="5428DFE4"/>
    <w:lvl w:ilvl="0" w:tplc="FA02E26E">
      <w:start w:val="1"/>
      <w:numFmt w:val="upperRoman"/>
      <w:lvlText w:val="%1."/>
      <w:lvlJc w:val="left"/>
      <w:pPr>
        <w:ind w:left="288" w:hanging="720"/>
      </w:pPr>
      <w:rPr>
        <w:rFonts w:hint="default"/>
        <w:b/>
        <w:color w:val="000000"/>
      </w:rPr>
    </w:lvl>
    <w:lvl w:ilvl="1" w:tplc="080A0019" w:tentative="1">
      <w:start w:val="1"/>
      <w:numFmt w:val="lowerLetter"/>
      <w:lvlText w:val="%2."/>
      <w:lvlJc w:val="left"/>
      <w:pPr>
        <w:ind w:left="648" w:hanging="360"/>
      </w:pPr>
    </w:lvl>
    <w:lvl w:ilvl="2" w:tplc="080A001B" w:tentative="1">
      <w:start w:val="1"/>
      <w:numFmt w:val="lowerRoman"/>
      <w:lvlText w:val="%3."/>
      <w:lvlJc w:val="right"/>
      <w:pPr>
        <w:ind w:left="1368" w:hanging="180"/>
      </w:pPr>
    </w:lvl>
    <w:lvl w:ilvl="3" w:tplc="080A000F" w:tentative="1">
      <w:start w:val="1"/>
      <w:numFmt w:val="decimal"/>
      <w:lvlText w:val="%4."/>
      <w:lvlJc w:val="left"/>
      <w:pPr>
        <w:ind w:left="2088" w:hanging="360"/>
      </w:pPr>
    </w:lvl>
    <w:lvl w:ilvl="4" w:tplc="080A0019" w:tentative="1">
      <w:start w:val="1"/>
      <w:numFmt w:val="lowerLetter"/>
      <w:lvlText w:val="%5."/>
      <w:lvlJc w:val="left"/>
      <w:pPr>
        <w:ind w:left="2808" w:hanging="360"/>
      </w:pPr>
    </w:lvl>
    <w:lvl w:ilvl="5" w:tplc="080A001B" w:tentative="1">
      <w:start w:val="1"/>
      <w:numFmt w:val="lowerRoman"/>
      <w:lvlText w:val="%6."/>
      <w:lvlJc w:val="right"/>
      <w:pPr>
        <w:ind w:left="3528" w:hanging="180"/>
      </w:pPr>
    </w:lvl>
    <w:lvl w:ilvl="6" w:tplc="080A000F" w:tentative="1">
      <w:start w:val="1"/>
      <w:numFmt w:val="decimal"/>
      <w:lvlText w:val="%7."/>
      <w:lvlJc w:val="left"/>
      <w:pPr>
        <w:ind w:left="4248" w:hanging="360"/>
      </w:pPr>
    </w:lvl>
    <w:lvl w:ilvl="7" w:tplc="080A0019" w:tentative="1">
      <w:start w:val="1"/>
      <w:numFmt w:val="lowerLetter"/>
      <w:lvlText w:val="%8."/>
      <w:lvlJc w:val="left"/>
      <w:pPr>
        <w:ind w:left="4968" w:hanging="360"/>
      </w:pPr>
    </w:lvl>
    <w:lvl w:ilvl="8" w:tplc="080A001B" w:tentative="1">
      <w:start w:val="1"/>
      <w:numFmt w:val="lowerRoman"/>
      <w:lvlText w:val="%9."/>
      <w:lvlJc w:val="right"/>
      <w:pPr>
        <w:ind w:left="5688" w:hanging="180"/>
      </w:pPr>
    </w:lvl>
  </w:abstractNum>
  <w:abstractNum w:abstractNumId="30" w15:restartNumberingAfterBreak="0">
    <w:nsid w:val="67573FE5"/>
    <w:multiLevelType w:val="hybridMultilevel"/>
    <w:tmpl w:val="0FEE96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5E1719"/>
    <w:multiLevelType w:val="hybridMultilevel"/>
    <w:tmpl w:val="92E62D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B2B1A75"/>
    <w:multiLevelType w:val="hybridMultilevel"/>
    <w:tmpl w:val="225EE82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29251E"/>
    <w:multiLevelType w:val="hybridMultilevel"/>
    <w:tmpl w:val="6A1A056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15:restartNumberingAfterBreak="0">
    <w:nsid w:val="6FA90646"/>
    <w:multiLevelType w:val="hybridMultilevel"/>
    <w:tmpl w:val="BF220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34A381E"/>
    <w:multiLevelType w:val="hybridMultilevel"/>
    <w:tmpl w:val="2550CDB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15:restartNumberingAfterBreak="0">
    <w:nsid w:val="743C7B85"/>
    <w:multiLevelType w:val="hybridMultilevel"/>
    <w:tmpl w:val="07801446"/>
    <w:lvl w:ilvl="0" w:tplc="080A000B">
      <w:start w:val="1"/>
      <w:numFmt w:val="bullet"/>
      <w:lvlText w:val=""/>
      <w:lvlJc w:val="left"/>
      <w:pPr>
        <w:ind w:left="288" w:hanging="360"/>
      </w:pPr>
      <w:rPr>
        <w:rFonts w:ascii="Wingdings" w:hAnsi="Wingdings" w:hint="default"/>
      </w:rPr>
    </w:lvl>
    <w:lvl w:ilvl="1" w:tplc="080A0003" w:tentative="1">
      <w:start w:val="1"/>
      <w:numFmt w:val="bullet"/>
      <w:lvlText w:val="o"/>
      <w:lvlJc w:val="left"/>
      <w:pPr>
        <w:ind w:left="1008" w:hanging="360"/>
      </w:pPr>
      <w:rPr>
        <w:rFonts w:ascii="Courier New" w:hAnsi="Courier New" w:cs="Courier New" w:hint="default"/>
      </w:rPr>
    </w:lvl>
    <w:lvl w:ilvl="2" w:tplc="080A0005" w:tentative="1">
      <w:start w:val="1"/>
      <w:numFmt w:val="bullet"/>
      <w:lvlText w:val=""/>
      <w:lvlJc w:val="left"/>
      <w:pPr>
        <w:ind w:left="1728" w:hanging="360"/>
      </w:pPr>
      <w:rPr>
        <w:rFonts w:ascii="Wingdings" w:hAnsi="Wingdings" w:hint="default"/>
      </w:rPr>
    </w:lvl>
    <w:lvl w:ilvl="3" w:tplc="080A0001" w:tentative="1">
      <w:start w:val="1"/>
      <w:numFmt w:val="bullet"/>
      <w:lvlText w:val=""/>
      <w:lvlJc w:val="left"/>
      <w:pPr>
        <w:ind w:left="2448" w:hanging="360"/>
      </w:pPr>
      <w:rPr>
        <w:rFonts w:ascii="Symbol" w:hAnsi="Symbol" w:hint="default"/>
      </w:rPr>
    </w:lvl>
    <w:lvl w:ilvl="4" w:tplc="080A0003" w:tentative="1">
      <w:start w:val="1"/>
      <w:numFmt w:val="bullet"/>
      <w:lvlText w:val="o"/>
      <w:lvlJc w:val="left"/>
      <w:pPr>
        <w:ind w:left="3168" w:hanging="360"/>
      </w:pPr>
      <w:rPr>
        <w:rFonts w:ascii="Courier New" w:hAnsi="Courier New" w:cs="Courier New" w:hint="default"/>
      </w:rPr>
    </w:lvl>
    <w:lvl w:ilvl="5" w:tplc="080A0005" w:tentative="1">
      <w:start w:val="1"/>
      <w:numFmt w:val="bullet"/>
      <w:lvlText w:val=""/>
      <w:lvlJc w:val="left"/>
      <w:pPr>
        <w:ind w:left="3888" w:hanging="360"/>
      </w:pPr>
      <w:rPr>
        <w:rFonts w:ascii="Wingdings" w:hAnsi="Wingdings" w:hint="default"/>
      </w:rPr>
    </w:lvl>
    <w:lvl w:ilvl="6" w:tplc="080A0001" w:tentative="1">
      <w:start w:val="1"/>
      <w:numFmt w:val="bullet"/>
      <w:lvlText w:val=""/>
      <w:lvlJc w:val="left"/>
      <w:pPr>
        <w:ind w:left="4608" w:hanging="360"/>
      </w:pPr>
      <w:rPr>
        <w:rFonts w:ascii="Symbol" w:hAnsi="Symbol" w:hint="default"/>
      </w:rPr>
    </w:lvl>
    <w:lvl w:ilvl="7" w:tplc="080A0003" w:tentative="1">
      <w:start w:val="1"/>
      <w:numFmt w:val="bullet"/>
      <w:lvlText w:val="o"/>
      <w:lvlJc w:val="left"/>
      <w:pPr>
        <w:ind w:left="5328" w:hanging="360"/>
      </w:pPr>
      <w:rPr>
        <w:rFonts w:ascii="Courier New" w:hAnsi="Courier New" w:cs="Courier New" w:hint="default"/>
      </w:rPr>
    </w:lvl>
    <w:lvl w:ilvl="8" w:tplc="080A0005" w:tentative="1">
      <w:start w:val="1"/>
      <w:numFmt w:val="bullet"/>
      <w:lvlText w:val=""/>
      <w:lvlJc w:val="left"/>
      <w:pPr>
        <w:ind w:left="6048" w:hanging="360"/>
      </w:pPr>
      <w:rPr>
        <w:rFonts w:ascii="Wingdings" w:hAnsi="Wingdings" w:hint="default"/>
      </w:rPr>
    </w:lvl>
  </w:abstractNum>
  <w:abstractNum w:abstractNumId="37" w15:restartNumberingAfterBreak="0">
    <w:nsid w:val="752F4E85"/>
    <w:multiLevelType w:val="hybridMultilevel"/>
    <w:tmpl w:val="26981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71079A3"/>
    <w:multiLevelType w:val="hybridMultilevel"/>
    <w:tmpl w:val="E24C44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7C62F42"/>
    <w:multiLevelType w:val="hybridMultilevel"/>
    <w:tmpl w:val="429817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15"/>
  </w:num>
  <w:num w:numId="4">
    <w:abstractNumId w:val="28"/>
  </w:num>
  <w:num w:numId="5">
    <w:abstractNumId w:val="29"/>
  </w:num>
  <w:num w:numId="6">
    <w:abstractNumId w:val="36"/>
  </w:num>
  <w:num w:numId="7">
    <w:abstractNumId w:val="20"/>
  </w:num>
  <w:num w:numId="8">
    <w:abstractNumId w:val="13"/>
  </w:num>
  <w:num w:numId="9">
    <w:abstractNumId w:val="34"/>
  </w:num>
  <w:num w:numId="10">
    <w:abstractNumId w:val="25"/>
  </w:num>
  <w:num w:numId="11">
    <w:abstractNumId w:val="23"/>
  </w:num>
  <w:num w:numId="12">
    <w:abstractNumId w:val="3"/>
  </w:num>
  <w:num w:numId="13">
    <w:abstractNumId w:val="8"/>
  </w:num>
  <w:num w:numId="14">
    <w:abstractNumId w:val="10"/>
  </w:num>
  <w:num w:numId="15">
    <w:abstractNumId w:val="17"/>
  </w:num>
  <w:num w:numId="16">
    <w:abstractNumId w:val="4"/>
  </w:num>
  <w:num w:numId="17">
    <w:abstractNumId w:val="1"/>
  </w:num>
  <w:num w:numId="18">
    <w:abstractNumId w:val="0"/>
  </w:num>
  <w:num w:numId="19">
    <w:abstractNumId w:val="9"/>
  </w:num>
  <w:num w:numId="20">
    <w:abstractNumId w:val="39"/>
  </w:num>
  <w:num w:numId="21">
    <w:abstractNumId w:val="37"/>
  </w:num>
  <w:num w:numId="22">
    <w:abstractNumId w:val="14"/>
  </w:num>
  <w:num w:numId="23">
    <w:abstractNumId w:val="24"/>
  </w:num>
  <w:num w:numId="24">
    <w:abstractNumId w:val="16"/>
  </w:num>
  <w:num w:numId="25">
    <w:abstractNumId w:val="6"/>
  </w:num>
  <w:num w:numId="26">
    <w:abstractNumId w:val="30"/>
  </w:num>
  <w:num w:numId="27">
    <w:abstractNumId w:val="12"/>
  </w:num>
  <w:num w:numId="28">
    <w:abstractNumId w:val="11"/>
  </w:num>
  <w:num w:numId="29">
    <w:abstractNumId w:val="22"/>
  </w:num>
  <w:num w:numId="30">
    <w:abstractNumId w:val="27"/>
  </w:num>
  <w:num w:numId="31">
    <w:abstractNumId w:val="26"/>
  </w:num>
  <w:num w:numId="32">
    <w:abstractNumId w:val="31"/>
  </w:num>
  <w:num w:numId="33">
    <w:abstractNumId w:val="19"/>
  </w:num>
  <w:num w:numId="34">
    <w:abstractNumId w:val="33"/>
  </w:num>
  <w:num w:numId="35">
    <w:abstractNumId w:val="38"/>
  </w:num>
  <w:num w:numId="36">
    <w:abstractNumId w:val="18"/>
  </w:num>
  <w:num w:numId="37">
    <w:abstractNumId w:val="35"/>
  </w:num>
  <w:num w:numId="38">
    <w:abstractNumId w:val="5"/>
  </w:num>
  <w:num w:numId="39">
    <w:abstractNumId w:val="7"/>
  </w:num>
  <w:num w:numId="4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39A8"/>
    <w:rsid w:val="00003E4B"/>
    <w:rsid w:val="00004CC3"/>
    <w:rsid w:val="00006E3E"/>
    <w:rsid w:val="00007048"/>
    <w:rsid w:val="000071E9"/>
    <w:rsid w:val="000071F3"/>
    <w:rsid w:val="0000787F"/>
    <w:rsid w:val="000116F3"/>
    <w:rsid w:val="000119FA"/>
    <w:rsid w:val="00013B2C"/>
    <w:rsid w:val="000150CC"/>
    <w:rsid w:val="00015439"/>
    <w:rsid w:val="00015D02"/>
    <w:rsid w:val="00016223"/>
    <w:rsid w:val="0001710F"/>
    <w:rsid w:val="00017F69"/>
    <w:rsid w:val="00020C02"/>
    <w:rsid w:val="00020DA8"/>
    <w:rsid w:val="00022279"/>
    <w:rsid w:val="00023199"/>
    <w:rsid w:val="000232A5"/>
    <w:rsid w:val="0002396B"/>
    <w:rsid w:val="000251D8"/>
    <w:rsid w:val="00025A39"/>
    <w:rsid w:val="00026406"/>
    <w:rsid w:val="00027E8E"/>
    <w:rsid w:val="0003027C"/>
    <w:rsid w:val="000304B6"/>
    <w:rsid w:val="00030AFB"/>
    <w:rsid w:val="00030F24"/>
    <w:rsid w:val="00031A36"/>
    <w:rsid w:val="00031BA9"/>
    <w:rsid w:val="00031DDA"/>
    <w:rsid w:val="00031F9D"/>
    <w:rsid w:val="00032514"/>
    <w:rsid w:val="0003265C"/>
    <w:rsid w:val="00032FD8"/>
    <w:rsid w:val="0003317E"/>
    <w:rsid w:val="00033D18"/>
    <w:rsid w:val="000341D6"/>
    <w:rsid w:val="000342EA"/>
    <w:rsid w:val="0003435C"/>
    <w:rsid w:val="0003450B"/>
    <w:rsid w:val="000366DB"/>
    <w:rsid w:val="00036859"/>
    <w:rsid w:val="00037307"/>
    <w:rsid w:val="000402F7"/>
    <w:rsid w:val="0004031F"/>
    <w:rsid w:val="0004131B"/>
    <w:rsid w:val="00041A7A"/>
    <w:rsid w:val="00042011"/>
    <w:rsid w:val="00042881"/>
    <w:rsid w:val="000428BF"/>
    <w:rsid w:val="000429CB"/>
    <w:rsid w:val="00042F93"/>
    <w:rsid w:val="0004308E"/>
    <w:rsid w:val="000431B4"/>
    <w:rsid w:val="000436B6"/>
    <w:rsid w:val="000443BE"/>
    <w:rsid w:val="00044E05"/>
    <w:rsid w:val="00044F79"/>
    <w:rsid w:val="000455BA"/>
    <w:rsid w:val="0004561B"/>
    <w:rsid w:val="00045653"/>
    <w:rsid w:val="00045A76"/>
    <w:rsid w:val="00045D77"/>
    <w:rsid w:val="00045E7E"/>
    <w:rsid w:val="00046C82"/>
    <w:rsid w:val="00046D4D"/>
    <w:rsid w:val="00047D7E"/>
    <w:rsid w:val="000500D0"/>
    <w:rsid w:val="00050AF4"/>
    <w:rsid w:val="00050CBE"/>
    <w:rsid w:val="00050F88"/>
    <w:rsid w:val="00051E83"/>
    <w:rsid w:val="00053EEE"/>
    <w:rsid w:val="00054FA1"/>
    <w:rsid w:val="00055F56"/>
    <w:rsid w:val="000565AD"/>
    <w:rsid w:val="00060326"/>
    <w:rsid w:val="00061F0B"/>
    <w:rsid w:val="00062CDE"/>
    <w:rsid w:val="00062E2D"/>
    <w:rsid w:val="00064A2A"/>
    <w:rsid w:val="00064D48"/>
    <w:rsid w:val="0006507E"/>
    <w:rsid w:val="00065D20"/>
    <w:rsid w:val="0006740E"/>
    <w:rsid w:val="0007007F"/>
    <w:rsid w:val="00070DA8"/>
    <w:rsid w:val="000717B8"/>
    <w:rsid w:val="00072642"/>
    <w:rsid w:val="000730BE"/>
    <w:rsid w:val="00074096"/>
    <w:rsid w:val="0007616E"/>
    <w:rsid w:val="00076244"/>
    <w:rsid w:val="000769AD"/>
    <w:rsid w:val="00076BB3"/>
    <w:rsid w:val="00077081"/>
    <w:rsid w:val="000800FE"/>
    <w:rsid w:val="00080624"/>
    <w:rsid w:val="00081772"/>
    <w:rsid w:val="00081875"/>
    <w:rsid w:val="00082218"/>
    <w:rsid w:val="00084ADD"/>
    <w:rsid w:val="00084B0A"/>
    <w:rsid w:val="000852EC"/>
    <w:rsid w:val="00085C64"/>
    <w:rsid w:val="00085D0D"/>
    <w:rsid w:val="00085F85"/>
    <w:rsid w:val="00086279"/>
    <w:rsid w:val="00086316"/>
    <w:rsid w:val="000865A1"/>
    <w:rsid w:val="000869F6"/>
    <w:rsid w:val="00086D0A"/>
    <w:rsid w:val="00086DB7"/>
    <w:rsid w:val="00087C83"/>
    <w:rsid w:val="00090AC2"/>
    <w:rsid w:val="00090ACB"/>
    <w:rsid w:val="00090F4A"/>
    <w:rsid w:val="0009158C"/>
    <w:rsid w:val="00091781"/>
    <w:rsid w:val="0009187D"/>
    <w:rsid w:val="000927ED"/>
    <w:rsid w:val="0009392F"/>
    <w:rsid w:val="00094FFA"/>
    <w:rsid w:val="000955C2"/>
    <w:rsid w:val="00096607"/>
    <w:rsid w:val="0009687A"/>
    <w:rsid w:val="000968E0"/>
    <w:rsid w:val="000970BB"/>
    <w:rsid w:val="000970C4"/>
    <w:rsid w:val="000971A2"/>
    <w:rsid w:val="00097A97"/>
    <w:rsid w:val="000A1062"/>
    <w:rsid w:val="000A1219"/>
    <w:rsid w:val="000A14E2"/>
    <w:rsid w:val="000A152B"/>
    <w:rsid w:val="000A17B3"/>
    <w:rsid w:val="000A2446"/>
    <w:rsid w:val="000A2E35"/>
    <w:rsid w:val="000A385A"/>
    <w:rsid w:val="000A3DB9"/>
    <w:rsid w:val="000A651A"/>
    <w:rsid w:val="000A6B01"/>
    <w:rsid w:val="000A6C06"/>
    <w:rsid w:val="000A6EA8"/>
    <w:rsid w:val="000A74C7"/>
    <w:rsid w:val="000B005A"/>
    <w:rsid w:val="000B0157"/>
    <w:rsid w:val="000B108F"/>
    <w:rsid w:val="000B13E0"/>
    <w:rsid w:val="000B1C26"/>
    <w:rsid w:val="000B2B41"/>
    <w:rsid w:val="000B3381"/>
    <w:rsid w:val="000B34DF"/>
    <w:rsid w:val="000B385F"/>
    <w:rsid w:val="000B5374"/>
    <w:rsid w:val="000B562C"/>
    <w:rsid w:val="000B656B"/>
    <w:rsid w:val="000B6F4E"/>
    <w:rsid w:val="000B7422"/>
    <w:rsid w:val="000B7D37"/>
    <w:rsid w:val="000C06D5"/>
    <w:rsid w:val="000C2FA9"/>
    <w:rsid w:val="000C404A"/>
    <w:rsid w:val="000C4C14"/>
    <w:rsid w:val="000C4DB7"/>
    <w:rsid w:val="000C5A3A"/>
    <w:rsid w:val="000C6B9B"/>
    <w:rsid w:val="000C6E50"/>
    <w:rsid w:val="000C7976"/>
    <w:rsid w:val="000C7A82"/>
    <w:rsid w:val="000C7E4E"/>
    <w:rsid w:val="000C7F2D"/>
    <w:rsid w:val="000D1A33"/>
    <w:rsid w:val="000D2149"/>
    <w:rsid w:val="000D2A86"/>
    <w:rsid w:val="000D2B12"/>
    <w:rsid w:val="000D4C3A"/>
    <w:rsid w:val="000D4D13"/>
    <w:rsid w:val="000D6518"/>
    <w:rsid w:val="000D67FD"/>
    <w:rsid w:val="000E02CF"/>
    <w:rsid w:val="000E0636"/>
    <w:rsid w:val="000E07BE"/>
    <w:rsid w:val="000E0BAF"/>
    <w:rsid w:val="000E11C1"/>
    <w:rsid w:val="000E223C"/>
    <w:rsid w:val="000E2AA4"/>
    <w:rsid w:val="000E337D"/>
    <w:rsid w:val="000E38CE"/>
    <w:rsid w:val="000E431D"/>
    <w:rsid w:val="000E4753"/>
    <w:rsid w:val="000E572B"/>
    <w:rsid w:val="000E5849"/>
    <w:rsid w:val="000E65E1"/>
    <w:rsid w:val="000E6A31"/>
    <w:rsid w:val="000E6A71"/>
    <w:rsid w:val="000E769E"/>
    <w:rsid w:val="000E7F95"/>
    <w:rsid w:val="000F1299"/>
    <w:rsid w:val="000F136E"/>
    <w:rsid w:val="000F1683"/>
    <w:rsid w:val="000F1F8D"/>
    <w:rsid w:val="000F27B6"/>
    <w:rsid w:val="000F40E8"/>
    <w:rsid w:val="000F421B"/>
    <w:rsid w:val="000F47BF"/>
    <w:rsid w:val="000F4C6D"/>
    <w:rsid w:val="000F5442"/>
    <w:rsid w:val="000F58EB"/>
    <w:rsid w:val="000F5DC6"/>
    <w:rsid w:val="000F5FAA"/>
    <w:rsid w:val="000F6426"/>
    <w:rsid w:val="001008F1"/>
    <w:rsid w:val="00100BE7"/>
    <w:rsid w:val="00102A77"/>
    <w:rsid w:val="00102CDB"/>
    <w:rsid w:val="00103726"/>
    <w:rsid w:val="00104BC4"/>
    <w:rsid w:val="0010669F"/>
    <w:rsid w:val="001067D6"/>
    <w:rsid w:val="00106A7E"/>
    <w:rsid w:val="0010709D"/>
    <w:rsid w:val="001071B4"/>
    <w:rsid w:val="001113CF"/>
    <w:rsid w:val="0011148B"/>
    <w:rsid w:val="001117FF"/>
    <w:rsid w:val="00111A48"/>
    <w:rsid w:val="00112B30"/>
    <w:rsid w:val="00112C85"/>
    <w:rsid w:val="00112D7B"/>
    <w:rsid w:val="0011435C"/>
    <w:rsid w:val="00116410"/>
    <w:rsid w:val="001170D2"/>
    <w:rsid w:val="001173C9"/>
    <w:rsid w:val="00117830"/>
    <w:rsid w:val="0012046A"/>
    <w:rsid w:val="0012129A"/>
    <w:rsid w:val="00121305"/>
    <w:rsid w:val="00121717"/>
    <w:rsid w:val="00121872"/>
    <w:rsid w:val="00125301"/>
    <w:rsid w:val="00125375"/>
    <w:rsid w:val="0012666D"/>
    <w:rsid w:val="0012794F"/>
    <w:rsid w:val="0013066C"/>
    <w:rsid w:val="00130FB6"/>
    <w:rsid w:val="0013110C"/>
    <w:rsid w:val="0013187F"/>
    <w:rsid w:val="0013230F"/>
    <w:rsid w:val="00133198"/>
    <w:rsid w:val="001334B9"/>
    <w:rsid w:val="00134280"/>
    <w:rsid w:val="00135DE8"/>
    <w:rsid w:val="001369DD"/>
    <w:rsid w:val="00136FC0"/>
    <w:rsid w:val="001375D3"/>
    <w:rsid w:val="001377D3"/>
    <w:rsid w:val="001405E0"/>
    <w:rsid w:val="0014104E"/>
    <w:rsid w:val="00141B75"/>
    <w:rsid w:val="0014299E"/>
    <w:rsid w:val="00143385"/>
    <w:rsid w:val="00143718"/>
    <w:rsid w:val="00143CE1"/>
    <w:rsid w:val="001441FF"/>
    <w:rsid w:val="0014558D"/>
    <w:rsid w:val="00146F8B"/>
    <w:rsid w:val="001509DB"/>
    <w:rsid w:val="0015190E"/>
    <w:rsid w:val="00153BE9"/>
    <w:rsid w:val="001543D9"/>
    <w:rsid w:val="0015510D"/>
    <w:rsid w:val="001614A6"/>
    <w:rsid w:val="00161A58"/>
    <w:rsid w:val="0016330A"/>
    <w:rsid w:val="001635CD"/>
    <w:rsid w:val="00163818"/>
    <w:rsid w:val="001670ED"/>
    <w:rsid w:val="0016787D"/>
    <w:rsid w:val="00167A62"/>
    <w:rsid w:val="00167D7B"/>
    <w:rsid w:val="00167EBC"/>
    <w:rsid w:val="001701F3"/>
    <w:rsid w:val="001713D2"/>
    <w:rsid w:val="001717A0"/>
    <w:rsid w:val="00171865"/>
    <w:rsid w:val="0017272C"/>
    <w:rsid w:val="00172907"/>
    <w:rsid w:val="00173618"/>
    <w:rsid w:val="00173B8E"/>
    <w:rsid w:val="00173C4F"/>
    <w:rsid w:val="00174C7F"/>
    <w:rsid w:val="0017527F"/>
    <w:rsid w:val="00175DA5"/>
    <w:rsid w:val="00177CCC"/>
    <w:rsid w:val="001806D6"/>
    <w:rsid w:val="00182613"/>
    <w:rsid w:val="0018343F"/>
    <w:rsid w:val="00183B0C"/>
    <w:rsid w:val="00184E67"/>
    <w:rsid w:val="00186296"/>
    <w:rsid w:val="00186432"/>
    <w:rsid w:val="00186938"/>
    <w:rsid w:val="00186E6E"/>
    <w:rsid w:val="0018776D"/>
    <w:rsid w:val="00187A7A"/>
    <w:rsid w:val="00187F42"/>
    <w:rsid w:val="001906DC"/>
    <w:rsid w:val="001907C8"/>
    <w:rsid w:val="0019206A"/>
    <w:rsid w:val="00193CAA"/>
    <w:rsid w:val="00193DBE"/>
    <w:rsid w:val="00194D24"/>
    <w:rsid w:val="001961AA"/>
    <w:rsid w:val="00196446"/>
    <w:rsid w:val="0019654C"/>
    <w:rsid w:val="001969ED"/>
    <w:rsid w:val="00196E94"/>
    <w:rsid w:val="0019756D"/>
    <w:rsid w:val="00197C2E"/>
    <w:rsid w:val="001A03CF"/>
    <w:rsid w:val="001A03D3"/>
    <w:rsid w:val="001A1262"/>
    <w:rsid w:val="001A2515"/>
    <w:rsid w:val="001A25D1"/>
    <w:rsid w:val="001A2DDC"/>
    <w:rsid w:val="001A2DF5"/>
    <w:rsid w:val="001A37AF"/>
    <w:rsid w:val="001A3F3C"/>
    <w:rsid w:val="001A4B42"/>
    <w:rsid w:val="001A55A3"/>
    <w:rsid w:val="001A710A"/>
    <w:rsid w:val="001B16F8"/>
    <w:rsid w:val="001B25B4"/>
    <w:rsid w:val="001B45AA"/>
    <w:rsid w:val="001B55C4"/>
    <w:rsid w:val="001B6203"/>
    <w:rsid w:val="001B6DB6"/>
    <w:rsid w:val="001B75C2"/>
    <w:rsid w:val="001C10B1"/>
    <w:rsid w:val="001C18E8"/>
    <w:rsid w:val="001C1F5F"/>
    <w:rsid w:val="001C26D9"/>
    <w:rsid w:val="001C28D3"/>
    <w:rsid w:val="001C2F00"/>
    <w:rsid w:val="001C3536"/>
    <w:rsid w:val="001C3722"/>
    <w:rsid w:val="001C4447"/>
    <w:rsid w:val="001C487E"/>
    <w:rsid w:val="001C4B89"/>
    <w:rsid w:val="001C569B"/>
    <w:rsid w:val="001C5CC3"/>
    <w:rsid w:val="001C6160"/>
    <w:rsid w:val="001C6430"/>
    <w:rsid w:val="001C78B6"/>
    <w:rsid w:val="001C7D42"/>
    <w:rsid w:val="001D08E0"/>
    <w:rsid w:val="001D09AC"/>
    <w:rsid w:val="001D1495"/>
    <w:rsid w:val="001D1675"/>
    <w:rsid w:val="001D270E"/>
    <w:rsid w:val="001D2D6E"/>
    <w:rsid w:val="001D322B"/>
    <w:rsid w:val="001D328E"/>
    <w:rsid w:val="001D4A8B"/>
    <w:rsid w:val="001D5627"/>
    <w:rsid w:val="001D5735"/>
    <w:rsid w:val="001D5B57"/>
    <w:rsid w:val="001D6858"/>
    <w:rsid w:val="001D6BF0"/>
    <w:rsid w:val="001D7B27"/>
    <w:rsid w:val="001E090F"/>
    <w:rsid w:val="001E223C"/>
    <w:rsid w:val="001E24B9"/>
    <w:rsid w:val="001E2D01"/>
    <w:rsid w:val="001E5956"/>
    <w:rsid w:val="001E671C"/>
    <w:rsid w:val="001E6FC0"/>
    <w:rsid w:val="001E7B4D"/>
    <w:rsid w:val="001F0494"/>
    <w:rsid w:val="001F1EDA"/>
    <w:rsid w:val="001F21CD"/>
    <w:rsid w:val="001F38D4"/>
    <w:rsid w:val="001F3E36"/>
    <w:rsid w:val="001F51AC"/>
    <w:rsid w:val="001F6072"/>
    <w:rsid w:val="001F62ED"/>
    <w:rsid w:val="001F6818"/>
    <w:rsid w:val="001F7416"/>
    <w:rsid w:val="001F783D"/>
    <w:rsid w:val="00200481"/>
    <w:rsid w:val="00200DCE"/>
    <w:rsid w:val="00201ED7"/>
    <w:rsid w:val="0020382E"/>
    <w:rsid w:val="002038EA"/>
    <w:rsid w:val="00204710"/>
    <w:rsid w:val="002055DB"/>
    <w:rsid w:val="00205A07"/>
    <w:rsid w:val="002062CD"/>
    <w:rsid w:val="0020657B"/>
    <w:rsid w:val="00206CB2"/>
    <w:rsid w:val="002074EB"/>
    <w:rsid w:val="002079E2"/>
    <w:rsid w:val="00207BFE"/>
    <w:rsid w:val="002106AD"/>
    <w:rsid w:val="00210A32"/>
    <w:rsid w:val="002118CC"/>
    <w:rsid w:val="0021281C"/>
    <w:rsid w:val="00212872"/>
    <w:rsid w:val="002145D3"/>
    <w:rsid w:val="00216055"/>
    <w:rsid w:val="00217057"/>
    <w:rsid w:val="002172A6"/>
    <w:rsid w:val="00217CD6"/>
    <w:rsid w:val="00221C7F"/>
    <w:rsid w:val="002224A6"/>
    <w:rsid w:val="00223550"/>
    <w:rsid w:val="00223CA2"/>
    <w:rsid w:val="00223D4D"/>
    <w:rsid w:val="0022480A"/>
    <w:rsid w:val="00225E96"/>
    <w:rsid w:val="00227250"/>
    <w:rsid w:val="002305BD"/>
    <w:rsid w:val="00231052"/>
    <w:rsid w:val="00232F6B"/>
    <w:rsid w:val="00233EB6"/>
    <w:rsid w:val="002346C6"/>
    <w:rsid w:val="0023607B"/>
    <w:rsid w:val="002365C3"/>
    <w:rsid w:val="00236710"/>
    <w:rsid w:val="00236A28"/>
    <w:rsid w:val="00236EAE"/>
    <w:rsid w:val="0023796C"/>
    <w:rsid w:val="00240523"/>
    <w:rsid w:val="00241AB8"/>
    <w:rsid w:val="00241F5A"/>
    <w:rsid w:val="002421D1"/>
    <w:rsid w:val="00242DA9"/>
    <w:rsid w:val="00242F76"/>
    <w:rsid w:val="0024355F"/>
    <w:rsid w:val="002441B0"/>
    <w:rsid w:val="00244970"/>
    <w:rsid w:val="00244C69"/>
    <w:rsid w:val="00245351"/>
    <w:rsid w:val="0024547D"/>
    <w:rsid w:val="00245559"/>
    <w:rsid w:val="00245634"/>
    <w:rsid w:val="00246D4C"/>
    <w:rsid w:val="00246F1A"/>
    <w:rsid w:val="002471D5"/>
    <w:rsid w:val="002472A6"/>
    <w:rsid w:val="00250471"/>
    <w:rsid w:val="002513BA"/>
    <w:rsid w:val="00251D8D"/>
    <w:rsid w:val="00251FC3"/>
    <w:rsid w:val="002523AC"/>
    <w:rsid w:val="0025269A"/>
    <w:rsid w:val="0025313E"/>
    <w:rsid w:val="002536EF"/>
    <w:rsid w:val="0025397C"/>
    <w:rsid w:val="002542E4"/>
    <w:rsid w:val="00254D85"/>
    <w:rsid w:val="00254ECF"/>
    <w:rsid w:val="00255B2C"/>
    <w:rsid w:val="00255E9D"/>
    <w:rsid w:val="00257C87"/>
    <w:rsid w:val="00257F79"/>
    <w:rsid w:val="002605D4"/>
    <w:rsid w:val="002608FD"/>
    <w:rsid w:val="00261328"/>
    <w:rsid w:val="002617D9"/>
    <w:rsid w:val="00262CF9"/>
    <w:rsid w:val="00263B11"/>
    <w:rsid w:val="00265204"/>
    <w:rsid w:val="00267B25"/>
    <w:rsid w:val="00267FF0"/>
    <w:rsid w:val="0027499C"/>
    <w:rsid w:val="00274A93"/>
    <w:rsid w:val="002756BF"/>
    <w:rsid w:val="002757C8"/>
    <w:rsid w:val="002759CB"/>
    <w:rsid w:val="00276253"/>
    <w:rsid w:val="00280009"/>
    <w:rsid w:val="0028018C"/>
    <w:rsid w:val="002801C9"/>
    <w:rsid w:val="0028115F"/>
    <w:rsid w:val="00282166"/>
    <w:rsid w:val="00282319"/>
    <w:rsid w:val="00282424"/>
    <w:rsid w:val="0028332D"/>
    <w:rsid w:val="0028352D"/>
    <w:rsid w:val="00283FB5"/>
    <w:rsid w:val="00284921"/>
    <w:rsid w:val="00285158"/>
    <w:rsid w:val="00285EA5"/>
    <w:rsid w:val="00285EED"/>
    <w:rsid w:val="0028644E"/>
    <w:rsid w:val="00286785"/>
    <w:rsid w:val="002873C2"/>
    <w:rsid w:val="002903A9"/>
    <w:rsid w:val="002909AD"/>
    <w:rsid w:val="00291B9E"/>
    <w:rsid w:val="00291CAA"/>
    <w:rsid w:val="00291D48"/>
    <w:rsid w:val="00291F3A"/>
    <w:rsid w:val="002923FF"/>
    <w:rsid w:val="0029264E"/>
    <w:rsid w:val="00292D9C"/>
    <w:rsid w:val="00293D80"/>
    <w:rsid w:val="00293EE9"/>
    <w:rsid w:val="0029479B"/>
    <w:rsid w:val="00294C33"/>
    <w:rsid w:val="00296BC3"/>
    <w:rsid w:val="002A1084"/>
    <w:rsid w:val="002A1A24"/>
    <w:rsid w:val="002A2688"/>
    <w:rsid w:val="002A2B3D"/>
    <w:rsid w:val="002A2E46"/>
    <w:rsid w:val="002A3627"/>
    <w:rsid w:val="002A3C43"/>
    <w:rsid w:val="002A3D00"/>
    <w:rsid w:val="002A3FF4"/>
    <w:rsid w:val="002A5EEA"/>
    <w:rsid w:val="002A5FE0"/>
    <w:rsid w:val="002A6630"/>
    <w:rsid w:val="002A6943"/>
    <w:rsid w:val="002A7BD0"/>
    <w:rsid w:val="002B0211"/>
    <w:rsid w:val="002B0780"/>
    <w:rsid w:val="002B1604"/>
    <w:rsid w:val="002B3836"/>
    <w:rsid w:val="002B3A46"/>
    <w:rsid w:val="002B4FF6"/>
    <w:rsid w:val="002B6488"/>
    <w:rsid w:val="002B6A84"/>
    <w:rsid w:val="002B7257"/>
    <w:rsid w:val="002B744D"/>
    <w:rsid w:val="002C032B"/>
    <w:rsid w:val="002C0401"/>
    <w:rsid w:val="002C096E"/>
    <w:rsid w:val="002C12DD"/>
    <w:rsid w:val="002C1CD4"/>
    <w:rsid w:val="002C2BB5"/>
    <w:rsid w:val="002C581D"/>
    <w:rsid w:val="002C61E4"/>
    <w:rsid w:val="002C70AA"/>
    <w:rsid w:val="002C7D69"/>
    <w:rsid w:val="002D1469"/>
    <w:rsid w:val="002D2897"/>
    <w:rsid w:val="002D429B"/>
    <w:rsid w:val="002D48FC"/>
    <w:rsid w:val="002D521B"/>
    <w:rsid w:val="002D536D"/>
    <w:rsid w:val="002D5E73"/>
    <w:rsid w:val="002D62EC"/>
    <w:rsid w:val="002D6389"/>
    <w:rsid w:val="002D67AA"/>
    <w:rsid w:val="002D6960"/>
    <w:rsid w:val="002D69F2"/>
    <w:rsid w:val="002D7C02"/>
    <w:rsid w:val="002D7E14"/>
    <w:rsid w:val="002E0C50"/>
    <w:rsid w:val="002E1973"/>
    <w:rsid w:val="002E2C12"/>
    <w:rsid w:val="002E3FEE"/>
    <w:rsid w:val="002E44D4"/>
    <w:rsid w:val="002E44F8"/>
    <w:rsid w:val="002E53C3"/>
    <w:rsid w:val="002E55B7"/>
    <w:rsid w:val="002E61ED"/>
    <w:rsid w:val="002E6DCB"/>
    <w:rsid w:val="002E7141"/>
    <w:rsid w:val="002E730B"/>
    <w:rsid w:val="002E7718"/>
    <w:rsid w:val="002F0B94"/>
    <w:rsid w:val="002F130C"/>
    <w:rsid w:val="002F1921"/>
    <w:rsid w:val="002F1DA7"/>
    <w:rsid w:val="002F2983"/>
    <w:rsid w:val="002F48B6"/>
    <w:rsid w:val="002F500A"/>
    <w:rsid w:val="002F518D"/>
    <w:rsid w:val="002F52E2"/>
    <w:rsid w:val="002F577C"/>
    <w:rsid w:val="002F5D6D"/>
    <w:rsid w:val="002F6852"/>
    <w:rsid w:val="002F6DA8"/>
    <w:rsid w:val="00300603"/>
    <w:rsid w:val="0030138C"/>
    <w:rsid w:val="003023C6"/>
    <w:rsid w:val="00302518"/>
    <w:rsid w:val="00302D09"/>
    <w:rsid w:val="0030311F"/>
    <w:rsid w:val="0030402F"/>
    <w:rsid w:val="00305C56"/>
    <w:rsid w:val="00306645"/>
    <w:rsid w:val="00310E50"/>
    <w:rsid w:val="00312DBE"/>
    <w:rsid w:val="003134DD"/>
    <w:rsid w:val="00313E3C"/>
    <w:rsid w:val="003146C6"/>
    <w:rsid w:val="00315C14"/>
    <w:rsid w:val="00316A48"/>
    <w:rsid w:val="00317659"/>
    <w:rsid w:val="00320DD6"/>
    <w:rsid w:val="00320F7B"/>
    <w:rsid w:val="003227D9"/>
    <w:rsid w:val="00322BD0"/>
    <w:rsid w:val="00323953"/>
    <w:rsid w:val="00323D16"/>
    <w:rsid w:val="0032448F"/>
    <w:rsid w:val="0032479D"/>
    <w:rsid w:val="003254EC"/>
    <w:rsid w:val="00325E9F"/>
    <w:rsid w:val="00327012"/>
    <w:rsid w:val="00327DD0"/>
    <w:rsid w:val="0033032D"/>
    <w:rsid w:val="003308BE"/>
    <w:rsid w:val="00330B3B"/>
    <w:rsid w:val="00330F26"/>
    <w:rsid w:val="003312D6"/>
    <w:rsid w:val="0033132D"/>
    <w:rsid w:val="00331731"/>
    <w:rsid w:val="00332CC0"/>
    <w:rsid w:val="00334324"/>
    <w:rsid w:val="00334428"/>
    <w:rsid w:val="00335032"/>
    <w:rsid w:val="003350E4"/>
    <w:rsid w:val="00335CFD"/>
    <w:rsid w:val="003375E8"/>
    <w:rsid w:val="00337DFC"/>
    <w:rsid w:val="00340930"/>
    <w:rsid w:val="00340D83"/>
    <w:rsid w:val="00341A9B"/>
    <w:rsid w:val="00342082"/>
    <w:rsid w:val="003425BD"/>
    <w:rsid w:val="00342911"/>
    <w:rsid w:val="003441DD"/>
    <w:rsid w:val="003442AC"/>
    <w:rsid w:val="00344706"/>
    <w:rsid w:val="00345741"/>
    <w:rsid w:val="00345D97"/>
    <w:rsid w:val="00345DF7"/>
    <w:rsid w:val="00346716"/>
    <w:rsid w:val="00347B4A"/>
    <w:rsid w:val="00350059"/>
    <w:rsid w:val="00350788"/>
    <w:rsid w:val="0035285B"/>
    <w:rsid w:val="003618E9"/>
    <w:rsid w:val="00362D01"/>
    <w:rsid w:val="00363610"/>
    <w:rsid w:val="003639DA"/>
    <w:rsid w:val="00363F3E"/>
    <w:rsid w:val="00365731"/>
    <w:rsid w:val="003667AE"/>
    <w:rsid w:val="00367302"/>
    <w:rsid w:val="00367E85"/>
    <w:rsid w:val="0037098F"/>
    <w:rsid w:val="00370AF9"/>
    <w:rsid w:val="00372083"/>
    <w:rsid w:val="0037248D"/>
    <w:rsid w:val="00372502"/>
    <w:rsid w:val="00372C3B"/>
    <w:rsid w:val="00373117"/>
    <w:rsid w:val="00373FB3"/>
    <w:rsid w:val="00375795"/>
    <w:rsid w:val="00375F11"/>
    <w:rsid w:val="00376623"/>
    <w:rsid w:val="0037666C"/>
    <w:rsid w:val="00376825"/>
    <w:rsid w:val="00377A8D"/>
    <w:rsid w:val="0038196F"/>
    <w:rsid w:val="00381EC1"/>
    <w:rsid w:val="0038385E"/>
    <w:rsid w:val="003839F1"/>
    <w:rsid w:val="00383FB5"/>
    <w:rsid w:val="00390316"/>
    <w:rsid w:val="00391D63"/>
    <w:rsid w:val="0039491E"/>
    <w:rsid w:val="00394B8C"/>
    <w:rsid w:val="00395018"/>
    <w:rsid w:val="0039635A"/>
    <w:rsid w:val="00396B60"/>
    <w:rsid w:val="00397624"/>
    <w:rsid w:val="0039779B"/>
    <w:rsid w:val="003A0258"/>
    <w:rsid w:val="003A07BC"/>
    <w:rsid w:val="003A1462"/>
    <w:rsid w:val="003A157B"/>
    <w:rsid w:val="003A1822"/>
    <w:rsid w:val="003A1A40"/>
    <w:rsid w:val="003A260A"/>
    <w:rsid w:val="003A2DAF"/>
    <w:rsid w:val="003A2E6B"/>
    <w:rsid w:val="003A31A8"/>
    <w:rsid w:val="003A576A"/>
    <w:rsid w:val="003A6652"/>
    <w:rsid w:val="003B2A90"/>
    <w:rsid w:val="003B36DA"/>
    <w:rsid w:val="003B560A"/>
    <w:rsid w:val="003B56B7"/>
    <w:rsid w:val="003B6937"/>
    <w:rsid w:val="003B79F1"/>
    <w:rsid w:val="003B7D8D"/>
    <w:rsid w:val="003C0948"/>
    <w:rsid w:val="003C0D06"/>
    <w:rsid w:val="003C1060"/>
    <w:rsid w:val="003C1A0F"/>
    <w:rsid w:val="003C268F"/>
    <w:rsid w:val="003C2927"/>
    <w:rsid w:val="003C3532"/>
    <w:rsid w:val="003C3695"/>
    <w:rsid w:val="003C3915"/>
    <w:rsid w:val="003C446A"/>
    <w:rsid w:val="003C4704"/>
    <w:rsid w:val="003C4B93"/>
    <w:rsid w:val="003C5087"/>
    <w:rsid w:val="003C518D"/>
    <w:rsid w:val="003C6E0E"/>
    <w:rsid w:val="003C742D"/>
    <w:rsid w:val="003C7840"/>
    <w:rsid w:val="003C797E"/>
    <w:rsid w:val="003D0E3B"/>
    <w:rsid w:val="003D11C8"/>
    <w:rsid w:val="003D1284"/>
    <w:rsid w:val="003D2318"/>
    <w:rsid w:val="003D27C2"/>
    <w:rsid w:val="003D36B9"/>
    <w:rsid w:val="003D3920"/>
    <w:rsid w:val="003D394F"/>
    <w:rsid w:val="003D3A01"/>
    <w:rsid w:val="003D3BDE"/>
    <w:rsid w:val="003D45E6"/>
    <w:rsid w:val="003D4E90"/>
    <w:rsid w:val="003E037E"/>
    <w:rsid w:val="003E20D1"/>
    <w:rsid w:val="003E26BE"/>
    <w:rsid w:val="003E28FD"/>
    <w:rsid w:val="003E4685"/>
    <w:rsid w:val="003E483A"/>
    <w:rsid w:val="003E6A2F"/>
    <w:rsid w:val="003E7285"/>
    <w:rsid w:val="003E7B5D"/>
    <w:rsid w:val="003E7F87"/>
    <w:rsid w:val="003F05E5"/>
    <w:rsid w:val="003F0E77"/>
    <w:rsid w:val="003F186D"/>
    <w:rsid w:val="003F2266"/>
    <w:rsid w:val="003F2835"/>
    <w:rsid w:val="003F2AFA"/>
    <w:rsid w:val="003F3036"/>
    <w:rsid w:val="003F335A"/>
    <w:rsid w:val="003F3981"/>
    <w:rsid w:val="003F467A"/>
    <w:rsid w:val="003F4FEF"/>
    <w:rsid w:val="003F6F41"/>
    <w:rsid w:val="003F7119"/>
    <w:rsid w:val="003F7BB9"/>
    <w:rsid w:val="003F7F76"/>
    <w:rsid w:val="0040034F"/>
    <w:rsid w:val="00400376"/>
    <w:rsid w:val="00400400"/>
    <w:rsid w:val="004007C3"/>
    <w:rsid w:val="00400890"/>
    <w:rsid w:val="004011D9"/>
    <w:rsid w:val="00401424"/>
    <w:rsid w:val="004019B9"/>
    <w:rsid w:val="00401D9D"/>
    <w:rsid w:val="00402109"/>
    <w:rsid w:val="004023A6"/>
    <w:rsid w:val="00402722"/>
    <w:rsid w:val="00402838"/>
    <w:rsid w:val="00402C55"/>
    <w:rsid w:val="00402E2F"/>
    <w:rsid w:val="0040306B"/>
    <w:rsid w:val="0040337B"/>
    <w:rsid w:val="00404D3C"/>
    <w:rsid w:val="00405ACE"/>
    <w:rsid w:val="00405E28"/>
    <w:rsid w:val="004074F3"/>
    <w:rsid w:val="00410EC3"/>
    <w:rsid w:val="00410FF9"/>
    <w:rsid w:val="0041110B"/>
    <w:rsid w:val="004121CB"/>
    <w:rsid w:val="00412715"/>
    <w:rsid w:val="00414A6F"/>
    <w:rsid w:val="0041512B"/>
    <w:rsid w:val="004161E3"/>
    <w:rsid w:val="00416824"/>
    <w:rsid w:val="00416E8B"/>
    <w:rsid w:val="0041765E"/>
    <w:rsid w:val="00417E69"/>
    <w:rsid w:val="00420237"/>
    <w:rsid w:val="0042080C"/>
    <w:rsid w:val="00420BE2"/>
    <w:rsid w:val="004215CC"/>
    <w:rsid w:val="00421727"/>
    <w:rsid w:val="004225CD"/>
    <w:rsid w:val="00422ABA"/>
    <w:rsid w:val="00423499"/>
    <w:rsid w:val="004238AD"/>
    <w:rsid w:val="00424205"/>
    <w:rsid w:val="00424EDD"/>
    <w:rsid w:val="00426134"/>
    <w:rsid w:val="00426164"/>
    <w:rsid w:val="00426B32"/>
    <w:rsid w:val="00426E19"/>
    <w:rsid w:val="00427C41"/>
    <w:rsid w:val="004302D6"/>
    <w:rsid w:val="004305B0"/>
    <w:rsid w:val="00430A9C"/>
    <w:rsid w:val="00430B17"/>
    <w:rsid w:val="00430CA0"/>
    <w:rsid w:val="004317E0"/>
    <w:rsid w:val="00431CE7"/>
    <w:rsid w:val="00432041"/>
    <w:rsid w:val="00432322"/>
    <w:rsid w:val="00432421"/>
    <w:rsid w:val="0043276C"/>
    <w:rsid w:val="004331ED"/>
    <w:rsid w:val="00433322"/>
    <w:rsid w:val="00433411"/>
    <w:rsid w:val="0043356B"/>
    <w:rsid w:val="0043474C"/>
    <w:rsid w:val="004350D9"/>
    <w:rsid w:val="004369EF"/>
    <w:rsid w:val="00437979"/>
    <w:rsid w:val="00437C10"/>
    <w:rsid w:val="0044091B"/>
    <w:rsid w:val="00440B7F"/>
    <w:rsid w:val="004412F2"/>
    <w:rsid w:val="00443835"/>
    <w:rsid w:val="00444E6E"/>
    <w:rsid w:val="00445E03"/>
    <w:rsid w:val="00446239"/>
    <w:rsid w:val="00446689"/>
    <w:rsid w:val="00446DAF"/>
    <w:rsid w:val="004479D8"/>
    <w:rsid w:val="0045198B"/>
    <w:rsid w:val="004530BF"/>
    <w:rsid w:val="004532D1"/>
    <w:rsid w:val="004538B4"/>
    <w:rsid w:val="00453994"/>
    <w:rsid w:val="004539C5"/>
    <w:rsid w:val="00453B70"/>
    <w:rsid w:val="00453BA5"/>
    <w:rsid w:val="004547A0"/>
    <w:rsid w:val="0045501D"/>
    <w:rsid w:val="0045552A"/>
    <w:rsid w:val="00455B41"/>
    <w:rsid w:val="00455E06"/>
    <w:rsid w:val="004560BA"/>
    <w:rsid w:val="00456AE4"/>
    <w:rsid w:val="00457202"/>
    <w:rsid w:val="00460F1F"/>
    <w:rsid w:val="00461FCE"/>
    <w:rsid w:val="004622D2"/>
    <w:rsid w:val="004623F7"/>
    <w:rsid w:val="004641C7"/>
    <w:rsid w:val="00464CA4"/>
    <w:rsid w:val="00466056"/>
    <w:rsid w:val="004665EF"/>
    <w:rsid w:val="004667C6"/>
    <w:rsid w:val="00467289"/>
    <w:rsid w:val="00470EA7"/>
    <w:rsid w:val="00471113"/>
    <w:rsid w:val="00471656"/>
    <w:rsid w:val="00474904"/>
    <w:rsid w:val="00474F56"/>
    <w:rsid w:val="0047657C"/>
    <w:rsid w:val="004770E9"/>
    <w:rsid w:val="00477344"/>
    <w:rsid w:val="00477546"/>
    <w:rsid w:val="0047799F"/>
    <w:rsid w:val="00477E7E"/>
    <w:rsid w:val="0048277B"/>
    <w:rsid w:val="004829F7"/>
    <w:rsid w:val="00485EAB"/>
    <w:rsid w:val="00487B9B"/>
    <w:rsid w:val="00490421"/>
    <w:rsid w:val="00491678"/>
    <w:rsid w:val="00491F63"/>
    <w:rsid w:val="00491FFA"/>
    <w:rsid w:val="004921C7"/>
    <w:rsid w:val="00492278"/>
    <w:rsid w:val="0049229D"/>
    <w:rsid w:val="00492A20"/>
    <w:rsid w:val="0049306A"/>
    <w:rsid w:val="00495A4C"/>
    <w:rsid w:val="00496C09"/>
    <w:rsid w:val="0049776B"/>
    <w:rsid w:val="004A0648"/>
    <w:rsid w:val="004A1CC4"/>
    <w:rsid w:val="004A1FBF"/>
    <w:rsid w:val="004A20FC"/>
    <w:rsid w:val="004A216E"/>
    <w:rsid w:val="004A2EC1"/>
    <w:rsid w:val="004A4A85"/>
    <w:rsid w:val="004A4A9E"/>
    <w:rsid w:val="004A4B54"/>
    <w:rsid w:val="004A57F6"/>
    <w:rsid w:val="004A6A9D"/>
    <w:rsid w:val="004A6D9A"/>
    <w:rsid w:val="004A71EC"/>
    <w:rsid w:val="004A788D"/>
    <w:rsid w:val="004B131F"/>
    <w:rsid w:val="004B1558"/>
    <w:rsid w:val="004B19A8"/>
    <w:rsid w:val="004B258F"/>
    <w:rsid w:val="004B2749"/>
    <w:rsid w:val="004B3155"/>
    <w:rsid w:val="004B34E8"/>
    <w:rsid w:val="004B3AC5"/>
    <w:rsid w:val="004B4B00"/>
    <w:rsid w:val="004B4F0C"/>
    <w:rsid w:val="004B59F1"/>
    <w:rsid w:val="004B71D0"/>
    <w:rsid w:val="004B7F67"/>
    <w:rsid w:val="004C17B8"/>
    <w:rsid w:val="004C207C"/>
    <w:rsid w:val="004C246B"/>
    <w:rsid w:val="004C2A56"/>
    <w:rsid w:val="004C31AC"/>
    <w:rsid w:val="004C3B79"/>
    <w:rsid w:val="004C521B"/>
    <w:rsid w:val="004C5CE4"/>
    <w:rsid w:val="004C62FB"/>
    <w:rsid w:val="004C63CA"/>
    <w:rsid w:val="004C6940"/>
    <w:rsid w:val="004C6A32"/>
    <w:rsid w:val="004D0AFB"/>
    <w:rsid w:val="004D1404"/>
    <w:rsid w:val="004D1662"/>
    <w:rsid w:val="004D16FF"/>
    <w:rsid w:val="004D23B8"/>
    <w:rsid w:val="004D26B9"/>
    <w:rsid w:val="004D38A7"/>
    <w:rsid w:val="004D3AC4"/>
    <w:rsid w:val="004D47BF"/>
    <w:rsid w:val="004D4E1F"/>
    <w:rsid w:val="004D4E7E"/>
    <w:rsid w:val="004D6559"/>
    <w:rsid w:val="004D6A6F"/>
    <w:rsid w:val="004E166E"/>
    <w:rsid w:val="004E1750"/>
    <w:rsid w:val="004E18FD"/>
    <w:rsid w:val="004E308E"/>
    <w:rsid w:val="004E3149"/>
    <w:rsid w:val="004E420A"/>
    <w:rsid w:val="004E4BCE"/>
    <w:rsid w:val="004E527F"/>
    <w:rsid w:val="004E5370"/>
    <w:rsid w:val="004E56F1"/>
    <w:rsid w:val="004E5AD1"/>
    <w:rsid w:val="004E7068"/>
    <w:rsid w:val="004E70F8"/>
    <w:rsid w:val="004E7BDA"/>
    <w:rsid w:val="004E7C2F"/>
    <w:rsid w:val="004E7FF2"/>
    <w:rsid w:val="004F0B14"/>
    <w:rsid w:val="004F100F"/>
    <w:rsid w:val="004F1871"/>
    <w:rsid w:val="004F1B99"/>
    <w:rsid w:val="004F1CA4"/>
    <w:rsid w:val="004F22A0"/>
    <w:rsid w:val="004F2BCB"/>
    <w:rsid w:val="004F2C0F"/>
    <w:rsid w:val="004F2E04"/>
    <w:rsid w:val="004F3D39"/>
    <w:rsid w:val="004F50C3"/>
    <w:rsid w:val="004F56B0"/>
    <w:rsid w:val="004F6376"/>
    <w:rsid w:val="004F65F3"/>
    <w:rsid w:val="004F708D"/>
    <w:rsid w:val="004F74E0"/>
    <w:rsid w:val="004F7D8E"/>
    <w:rsid w:val="005005AE"/>
    <w:rsid w:val="00500799"/>
    <w:rsid w:val="00502A6A"/>
    <w:rsid w:val="00502A8E"/>
    <w:rsid w:val="0050390A"/>
    <w:rsid w:val="005041D0"/>
    <w:rsid w:val="00505485"/>
    <w:rsid w:val="0050690D"/>
    <w:rsid w:val="00506A9B"/>
    <w:rsid w:val="00506EF0"/>
    <w:rsid w:val="005071D5"/>
    <w:rsid w:val="005075FF"/>
    <w:rsid w:val="0050788C"/>
    <w:rsid w:val="00507D08"/>
    <w:rsid w:val="0051102B"/>
    <w:rsid w:val="005112F2"/>
    <w:rsid w:val="005116EB"/>
    <w:rsid w:val="005127EC"/>
    <w:rsid w:val="005128F1"/>
    <w:rsid w:val="00512EC6"/>
    <w:rsid w:val="00512FDB"/>
    <w:rsid w:val="00513BF3"/>
    <w:rsid w:val="005148E2"/>
    <w:rsid w:val="00515644"/>
    <w:rsid w:val="00517680"/>
    <w:rsid w:val="00520DE4"/>
    <w:rsid w:val="0052245D"/>
    <w:rsid w:val="005225EF"/>
    <w:rsid w:val="0052328E"/>
    <w:rsid w:val="00523526"/>
    <w:rsid w:val="00523AE6"/>
    <w:rsid w:val="00523B6E"/>
    <w:rsid w:val="0052425F"/>
    <w:rsid w:val="00524362"/>
    <w:rsid w:val="00524452"/>
    <w:rsid w:val="00524B02"/>
    <w:rsid w:val="005260FC"/>
    <w:rsid w:val="00526DAB"/>
    <w:rsid w:val="00527082"/>
    <w:rsid w:val="00530FFA"/>
    <w:rsid w:val="00531305"/>
    <w:rsid w:val="005313FE"/>
    <w:rsid w:val="005317F5"/>
    <w:rsid w:val="00531E4F"/>
    <w:rsid w:val="00532013"/>
    <w:rsid w:val="00532615"/>
    <w:rsid w:val="00532656"/>
    <w:rsid w:val="005326AC"/>
    <w:rsid w:val="005326D0"/>
    <w:rsid w:val="005327C3"/>
    <w:rsid w:val="005329D3"/>
    <w:rsid w:val="00532CEE"/>
    <w:rsid w:val="00534F32"/>
    <w:rsid w:val="005354DB"/>
    <w:rsid w:val="005356E4"/>
    <w:rsid w:val="00535917"/>
    <w:rsid w:val="005359D2"/>
    <w:rsid w:val="00536EC2"/>
    <w:rsid w:val="00537F10"/>
    <w:rsid w:val="005413FC"/>
    <w:rsid w:val="00541946"/>
    <w:rsid w:val="00542A73"/>
    <w:rsid w:val="00544147"/>
    <w:rsid w:val="0054423E"/>
    <w:rsid w:val="00544315"/>
    <w:rsid w:val="0054447D"/>
    <w:rsid w:val="005445AD"/>
    <w:rsid w:val="00544B7F"/>
    <w:rsid w:val="00546096"/>
    <w:rsid w:val="00547244"/>
    <w:rsid w:val="0054744B"/>
    <w:rsid w:val="00550306"/>
    <w:rsid w:val="00550C2E"/>
    <w:rsid w:val="00551433"/>
    <w:rsid w:val="0055165F"/>
    <w:rsid w:val="005529D8"/>
    <w:rsid w:val="00552D2E"/>
    <w:rsid w:val="00554F98"/>
    <w:rsid w:val="00561A15"/>
    <w:rsid w:val="00561C8F"/>
    <w:rsid w:val="005620FB"/>
    <w:rsid w:val="00562721"/>
    <w:rsid w:val="00562FF2"/>
    <w:rsid w:val="005632D5"/>
    <w:rsid w:val="0056591E"/>
    <w:rsid w:val="00566FD5"/>
    <w:rsid w:val="00567FC1"/>
    <w:rsid w:val="00570000"/>
    <w:rsid w:val="00570351"/>
    <w:rsid w:val="00572232"/>
    <w:rsid w:val="00572242"/>
    <w:rsid w:val="005729AB"/>
    <w:rsid w:val="00572A66"/>
    <w:rsid w:val="00572F45"/>
    <w:rsid w:val="00573F98"/>
    <w:rsid w:val="0057426C"/>
    <w:rsid w:val="005749CA"/>
    <w:rsid w:val="00574F50"/>
    <w:rsid w:val="00575FE6"/>
    <w:rsid w:val="005779FE"/>
    <w:rsid w:val="005812BD"/>
    <w:rsid w:val="00581A54"/>
    <w:rsid w:val="00582B37"/>
    <w:rsid w:val="00582F68"/>
    <w:rsid w:val="005837DC"/>
    <w:rsid w:val="00583B93"/>
    <w:rsid w:val="00584C2B"/>
    <w:rsid w:val="00587554"/>
    <w:rsid w:val="005878AA"/>
    <w:rsid w:val="00590F1D"/>
    <w:rsid w:val="005927D9"/>
    <w:rsid w:val="00592A46"/>
    <w:rsid w:val="005936AB"/>
    <w:rsid w:val="005940B2"/>
    <w:rsid w:val="0059601C"/>
    <w:rsid w:val="005971B0"/>
    <w:rsid w:val="0059721A"/>
    <w:rsid w:val="005979B3"/>
    <w:rsid w:val="005A099E"/>
    <w:rsid w:val="005A0D35"/>
    <w:rsid w:val="005A1DB2"/>
    <w:rsid w:val="005A245F"/>
    <w:rsid w:val="005A287F"/>
    <w:rsid w:val="005A28CC"/>
    <w:rsid w:val="005A29B0"/>
    <w:rsid w:val="005A3416"/>
    <w:rsid w:val="005A37A5"/>
    <w:rsid w:val="005A4F32"/>
    <w:rsid w:val="005A5827"/>
    <w:rsid w:val="005A70BA"/>
    <w:rsid w:val="005A7484"/>
    <w:rsid w:val="005B0178"/>
    <w:rsid w:val="005B054E"/>
    <w:rsid w:val="005B12E6"/>
    <w:rsid w:val="005B1519"/>
    <w:rsid w:val="005B167E"/>
    <w:rsid w:val="005B26EE"/>
    <w:rsid w:val="005B2852"/>
    <w:rsid w:val="005B2A82"/>
    <w:rsid w:val="005B36F3"/>
    <w:rsid w:val="005B3719"/>
    <w:rsid w:val="005B4969"/>
    <w:rsid w:val="005B4B6C"/>
    <w:rsid w:val="005B4B72"/>
    <w:rsid w:val="005B4E14"/>
    <w:rsid w:val="005B599A"/>
    <w:rsid w:val="005B5DB6"/>
    <w:rsid w:val="005B649D"/>
    <w:rsid w:val="005B655B"/>
    <w:rsid w:val="005B6580"/>
    <w:rsid w:val="005B65A0"/>
    <w:rsid w:val="005B6D5E"/>
    <w:rsid w:val="005C1C3C"/>
    <w:rsid w:val="005C3AFD"/>
    <w:rsid w:val="005C3DF6"/>
    <w:rsid w:val="005C4750"/>
    <w:rsid w:val="005C4CE7"/>
    <w:rsid w:val="005C4FDB"/>
    <w:rsid w:val="005C5616"/>
    <w:rsid w:val="005C5A79"/>
    <w:rsid w:val="005C62F3"/>
    <w:rsid w:val="005C6336"/>
    <w:rsid w:val="005C654D"/>
    <w:rsid w:val="005C67D6"/>
    <w:rsid w:val="005C7030"/>
    <w:rsid w:val="005C79FB"/>
    <w:rsid w:val="005C7C87"/>
    <w:rsid w:val="005D01B1"/>
    <w:rsid w:val="005D1527"/>
    <w:rsid w:val="005D1A30"/>
    <w:rsid w:val="005D1DFD"/>
    <w:rsid w:val="005D1F15"/>
    <w:rsid w:val="005D290F"/>
    <w:rsid w:val="005D2935"/>
    <w:rsid w:val="005D3122"/>
    <w:rsid w:val="005D3B1F"/>
    <w:rsid w:val="005D3C89"/>
    <w:rsid w:val="005D4E06"/>
    <w:rsid w:val="005D557A"/>
    <w:rsid w:val="005D6DE5"/>
    <w:rsid w:val="005D718C"/>
    <w:rsid w:val="005D743B"/>
    <w:rsid w:val="005D7F23"/>
    <w:rsid w:val="005E1106"/>
    <w:rsid w:val="005E1719"/>
    <w:rsid w:val="005E1746"/>
    <w:rsid w:val="005E1CE1"/>
    <w:rsid w:val="005E247A"/>
    <w:rsid w:val="005E2CD2"/>
    <w:rsid w:val="005E2DF7"/>
    <w:rsid w:val="005E3B0B"/>
    <w:rsid w:val="005E4FAC"/>
    <w:rsid w:val="005E51AA"/>
    <w:rsid w:val="005E57AD"/>
    <w:rsid w:val="005E65A3"/>
    <w:rsid w:val="005E6749"/>
    <w:rsid w:val="005E68CD"/>
    <w:rsid w:val="005E7D74"/>
    <w:rsid w:val="005F0BAF"/>
    <w:rsid w:val="005F1B7F"/>
    <w:rsid w:val="005F2434"/>
    <w:rsid w:val="005F3C7E"/>
    <w:rsid w:val="005F41FC"/>
    <w:rsid w:val="005F4810"/>
    <w:rsid w:val="006016E7"/>
    <w:rsid w:val="00601837"/>
    <w:rsid w:val="00602301"/>
    <w:rsid w:val="006027BB"/>
    <w:rsid w:val="00604BF9"/>
    <w:rsid w:val="00604D39"/>
    <w:rsid w:val="00604E35"/>
    <w:rsid w:val="00605C3D"/>
    <w:rsid w:val="00605DF2"/>
    <w:rsid w:val="00607367"/>
    <w:rsid w:val="006074A3"/>
    <w:rsid w:val="006075C8"/>
    <w:rsid w:val="00610099"/>
    <w:rsid w:val="006106BE"/>
    <w:rsid w:val="00610DFE"/>
    <w:rsid w:val="0061215E"/>
    <w:rsid w:val="00613018"/>
    <w:rsid w:val="0061344D"/>
    <w:rsid w:val="00613B16"/>
    <w:rsid w:val="00614391"/>
    <w:rsid w:val="006145A7"/>
    <w:rsid w:val="00615FA2"/>
    <w:rsid w:val="0061655A"/>
    <w:rsid w:val="00616692"/>
    <w:rsid w:val="00616748"/>
    <w:rsid w:val="00620318"/>
    <w:rsid w:val="0062088D"/>
    <w:rsid w:val="00622162"/>
    <w:rsid w:val="00622EDC"/>
    <w:rsid w:val="006236A9"/>
    <w:rsid w:val="00624AFC"/>
    <w:rsid w:val="006252A4"/>
    <w:rsid w:val="00625748"/>
    <w:rsid w:val="00625D23"/>
    <w:rsid w:val="00626396"/>
    <w:rsid w:val="00627488"/>
    <w:rsid w:val="006279F8"/>
    <w:rsid w:val="0063016D"/>
    <w:rsid w:val="00630788"/>
    <w:rsid w:val="00631A0A"/>
    <w:rsid w:val="00631E39"/>
    <w:rsid w:val="00631FA5"/>
    <w:rsid w:val="00632455"/>
    <w:rsid w:val="00632DB4"/>
    <w:rsid w:val="00633932"/>
    <w:rsid w:val="00634032"/>
    <w:rsid w:val="0063447D"/>
    <w:rsid w:val="0063517D"/>
    <w:rsid w:val="00635DAC"/>
    <w:rsid w:val="00635FB5"/>
    <w:rsid w:val="00636E71"/>
    <w:rsid w:val="0064036A"/>
    <w:rsid w:val="00640434"/>
    <w:rsid w:val="006407E6"/>
    <w:rsid w:val="00641969"/>
    <w:rsid w:val="00641A46"/>
    <w:rsid w:val="00641C04"/>
    <w:rsid w:val="00643F94"/>
    <w:rsid w:val="0064442F"/>
    <w:rsid w:val="0064533C"/>
    <w:rsid w:val="0064695F"/>
    <w:rsid w:val="00646D27"/>
    <w:rsid w:val="006505BB"/>
    <w:rsid w:val="00650A4D"/>
    <w:rsid w:val="00651489"/>
    <w:rsid w:val="00652135"/>
    <w:rsid w:val="0065241D"/>
    <w:rsid w:val="00652F43"/>
    <w:rsid w:val="0065359F"/>
    <w:rsid w:val="0065384B"/>
    <w:rsid w:val="006544EE"/>
    <w:rsid w:val="00656D50"/>
    <w:rsid w:val="00657A28"/>
    <w:rsid w:val="0066027A"/>
    <w:rsid w:val="00660506"/>
    <w:rsid w:val="00662013"/>
    <w:rsid w:val="006620A2"/>
    <w:rsid w:val="006634C7"/>
    <w:rsid w:val="006636DA"/>
    <w:rsid w:val="006638B7"/>
    <w:rsid w:val="00663D0D"/>
    <w:rsid w:val="00665221"/>
    <w:rsid w:val="0066616C"/>
    <w:rsid w:val="006665EB"/>
    <w:rsid w:val="00667442"/>
    <w:rsid w:val="00667C2E"/>
    <w:rsid w:val="00671FAD"/>
    <w:rsid w:val="006734D7"/>
    <w:rsid w:val="006735D8"/>
    <w:rsid w:val="00674EBB"/>
    <w:rsid w:val="00675E35"/>
    <w:rsid w:val="0067612D"/>
    <w:rsid w:val="006774DB"/>
    <w:rsid w:val="00677A40"/>
    <w:rsid w:val="00681B8F"/>
    <w:rsid w:val="0068227F"/>
    <w:rsid w:val="006823BC"/>
    <w:rsid w:val="0068293F"/>
    <w:rsid w:val="00686412"/>
    <w:rsid w:val="00686C71"/>
    <w:rsid w:val="00690F80"/>
    <w:rsid w:val="006910CC"/>
    <w:rsid w:val="006922E3"/>
    <w:rsid w:val="006924D9"/>
    <w:rsid w:val="00692BE0"/>
    <w:rsid w:val="00694776"/>
    <w:rsid w:val="006947EB"/>
    <w:rsid w:val="006950F3"/>
    <w:rsid w:val="006960CD"/>
    <w:rsid w:val="0069638B"/>
    <w:rsid w:val="006967A7"/>
    <w:rsid w:val="00697951"/>
    <w:rsid w:val="00697C63"/>
    <w:rsid w:val="006A1C8A"/>
    <w:rsid w:val="006A1CFB"/>
    <w:rsid w:val="006A2939"/>
    <w:rsid w:val="006A2F58"/>
    <w:rsid w:val="006A32FF"/>
    <w:rsid w:val="006A407A"/>
    <w:rsid w:val="006A43F2"/>
    <w:rsid w:val="006A4859"/>
    <w:rsid w:val="006A4C7F"/>
    <w:rsid w:val="006A4ECD"/>
    <w:rsid w:val="006A58D6"/>
    <w:rsid w:val="006A613B"/>
    <w:rsid w:val="006A630B"/>
    <w:rsid w:val="006A643E"/>
    <w:rsid w:val="006A6D32"/>
    <w:rsid w:val="006A6E9C"/>
    <w:rsid w:val="006A73A1"/>
    <w:rsid w:val="006A7D95"/>
    <w:rsid w:val="006A7F92"/>
    <w:rsid w:val="006A7F93"/>
    <w:rsid w:val="006B0E9B"/>
    <w:rsid w:val="006B1FEB"/>
    <w:rsid w:val="006B3547"/>
    <w:rsid w:val="006B38D9"/>
    <w:rsid w:val="006B57E5"/>
    <w:rsid w:val="006B5FE9"/>
    <w:rsid w:val="006B621E"/>
    <w:rsid w:val="006B6656"/>
    <w:rsid w:val="006B72ED"/>
    <w:rsid w:val="006B79C6"/>
    <w:rsid w:val="006C0ADA"/>
    <w:rsid w:val="006C0D8A"/>
    <w:rsid w:val="006C1FE4"/>
    <w:rsid w:val="006C2A74"/>
    <w:rsid w:val="006C3CBE"/>
    <w:rsid w:val="006C4C9D"/>
    <w:rsid w:val="006C4D72"/>
    <w:rsid w:val="006C4FD5"/>
    <w:rsid w:val="006C52B7"/>
    <w:rsid w:val="006C5B4D"/>
    <w:rsid w:val="006C60DA"/>
    <w:rsid w:val="006C61C7"/>
    <w:rsid w:val="006C689F"/>
    <w:rsid w:val="006C759D"/>
    <w:rsid w:val="006D04D9"/>
    <w:rsid w:val="006D21CC"/>
    <w:rsid w:val="006D33DB"/>
    <w:rsid w:val="006D3F70"/>
    <w:rsid w:val="006D40E5"/>
    <w:rsid w:val="006D451F"/>
    <w:rsid w:val="006D4C06"/>
    <w:rsid w:val="006D50A7"/>
    <w:rsid w:val="006D537E"/>
    <w:rsid w:val="006D564F"/>
    <w:rsid w:val="006D5F52"/>
    <w:rsid w:val="006D60D7"/>
    <w:rsid w:val="006D6A4E"/>
    <w:rsid w:val="006D6B70"/>
    <w:rsid w:val="006D6E39"/>
    <w:rsid w:val="006D7F61"/>
    <w:rsid w:val="006E0B77"/>
    <w:rsid w:val="006E1B1C"/>
    <w:rsid w:val="006E1C1A"/>
    <w:rsid w:val="006E26FC"/>
    <w:rsid w:val="006E5307"/>
    <w:rsid w:val="006E7354"/>
    <w:rsid w:val="006E7C9C"/>
    <w:rsid w:val="006F03B0"/>
    <w:rsid w:val="006F10A2"/>
    <w:rsid w:val="006F1989"/>
    <w:rsid w:val="006F2819"/>
    <w:rsid w:val="006F28EB"/>
    <w:rsid w:val="006F3006"/>
    <w:rsid w:val="006F462C"/>
    <w:rsid w:val="006F57BA"/>
    <w:rsid w:val="006F57D1"/>
    <w:rsid w:val="006F585F"/>
    <w:rsid w:val="006F6548"/>
    <w:rsid w:val="006F65FB"/>
    <w:rsid w:val="006F6A78"/>
    <w:rsid w:val="006F70B1"/>
    <w:rsid w:val="006F70C5"/>
    <w:rsid w:val="0070029E"/>
    <w:rsid w:val="007032F3"/>
    <w:rsid w:val="00704217"/>
    <w:rsid w:val="0070487B"/>
    <w:rsid w:val="00705144"/>
    <w:rsid w:val="00706408"/>
    <w:rsid w:val="007071F3"/>
    <w:rsid w:val="00707573"/>
    <w:rsid w:val="00707F86"/>
    <w:rsid w:val="00711751"/>
    <w:rsid w:val="007117B6"/>
    <w:rsid w:val="0071191A"/>
    <w:rsid w:val="007119B3"/>
    <w:rsid w:val="00711E00"/>
    <w:rsid w:val="00711E27"/>
    <w:rsid w:val="007136B1"/>
    <w:rsid w:val="0071488A"/>
    <w:rsid w:val="00714BDB"/>
    <w:rsid w:val="007152DF"/>
    <w:rsid w:val="0071564B"/>
    <w:rsid w:val="00715D9C"/>
    <w:rsid w:val="00716035"/>
    <w:rsid w:val="007160E9"/>
    <w:rsid w:val="00716CFB"/>
    <w:rsid w:val="0071795E"/>
    <w:rsid w:val="007179EC"/>
    <w:rsid w:val="007207CD"/>
    <w:rsid w:val="00720B45"/>
    <w:rsid w:val="007224FB"/>
    <w:rsid w:val="00722A4C"/>
    <w:rsid w:val="00722AC7"/>
    <w:rsid w:val="00724754"/>
    <w:rsid w:val="00724AE8"/>
    <w:rsid w:val="00724DF0"/>
    <w:rsid w:val="00724E0D"/>
    <w:rsid w:val="007253B2"/>
    <w:rsid w:val="007262C0"/>
    <w:rsid w:val="00727067"/>
    <w:rsid w:val="0072756A"/>
    <w:rsid w:val="0073107C"/>
    <w:rsid w:val="007313EE"/>
    <w:rsid w:val="00731594"/>
    <w:rsid w:val="0073162C"/>
    <w:rsid w:val="00731642"/>
    <w:rsid w:val="00731969"/>
    <w:rsid w:val="00731BDE"/>
    <w:rsid w:val="007325E0"/>
    <w:rsid w:val="0073313A"/>
    <w:rsid w:val="00733EB2"/>
    <w:rsid w:val="0073411C"/>
    <w:rsid w:val="00734316"/>
    <w:rsid w:val="00735048"/>
    <w:rsid w:val="00735541"/>
    <w:rsid w:val="007356DC"/>
    <w:rsid w:val="00735776"/>
    <w:rsid w:val="00735C11"/>
    <w:rsid w:val="00735E97"/>
    <w:rsid w:val="00736605"/>
    <w:rsid w:val="0073690C"/>
    <w:rsid w:val="00737508"/>
    <w:rsid w:val="007409BE"/>
    <w:rsid w:val="0074174B"/>
    <w:rsid w:val="00743146"/>
    <w:rsid w:val="007438DC"/>
    <w:rsid w:val="00745C09"/>
    <w:rsid w:val="0074647A"/>
    <w:rsid w:val="00747229"/>
    <w:rsid w:val="007500BF"/>
    <w:rsid w:val="00750CFC"/>
    <w:rsid w:val="007515A6"/>
    <w:rsid w:val="00752866"/>
    <w:rsid w:val="00754D7F"/>
    <w:rsid w:val="00754E72"/>
    <w:rsid w:val="00756404"/>
    <w:rsid w:val="00756E04"/>
    <w:rsid w:val="00757B43"/>
    <w:rsid w:val="0076190A"/>
    <w:rsid w:val="00761C0F"/>
    <w:rsid w:val="00761C23"/>
    <w:rsid w:val="00764B65"/>
    <w:rsid w:val="00764E48"/>
    <w:rsid w:val="00765102"/>
    <w:rsid w:val="00765800"/>
    <w:rsid w:val="0076655A"/>
    <w:rsid w:val="00766BD6"/>
    <w:rsid w:val="00766F0F"/>
    <w:rsid w:val="00766F1B"/>
    <w:rsid w:val="00770B37"/>
    <w:rsid w:val="00770E10"/>
    <w:rsid w:val="00772BD7"/>
    <w:rsid w:val="00774785"/>
    <w:rsid w:val="007747B8"/>
    <w:rsid w:val="00774879"/>
    <w:rsid w:val="00775D45"/>
    <w:rsid w:val="007773D7"/>
    <w:rsid w:val="00777800"/>
    <w:rsid w:val="00777918"/>
    <w:rsid w:val="00780287"/>
    <w:rsid w:val="0078028A"/>
    <w:rsid w:val="00780747"/>
    <w:rsid w:val="0078087C"/>
    <w:rsid w:val="00780D92"/>
    <w:rsid w:val="0078160B"/>
    <w:rsid w:val="007819A5"/>
    <w:rsid w:val="00781B8D"/>
    <w:rsid w:val="0078404D"/>
    <w:rsid w:val="00785511"/>
    <w:rsid w:val="007867C0"/>
    <w:rsid w:val="007872F3"/>
    <w:rsid w:val="007937CE"/>
    <w:rsid w:val="007937DD"/>
    <w:rsid w:val="007938DF"/>
    <w:rsid w:val="00793BF6"/>
    <w:rsid w:val="007940CB"/>
    <w:rsid w:val="007948E8"/>
    <w:rsid w:val="00796155"/>
    <w:rsid w:val="00797CF6"/>
    <w:rsid w:val="007A0EA4"/>
    <w:rsid w:val="007A10D9"/>
    <w:rsid w:val="007A152B"/>
    <w:rsid w:val="007A2124"/>
    <w:rsid w:val="007A2DEA"/>
    <w:rsid w:val="007A2E82"/>
    <w:rsid w:val="007A3E85"/>
    <w:rsid w:val="007A4D88"/>
    <w:rsid w:val="007A5B26"/>
    <w:rsid w:val="007A693A"/>
    <w:rsid w:val="007A787A"/>
    <w:rsid w:val="007B10AB"/>
    <w:rsid w:val="007B16C4"/>
    <w:rsid w:val="007B2471"/>
    <w:rsid w:val="007B55B4"/>
    <w:rsid w:val="007B560F"/>
    <w:rsid w:val="007B5D0B"/>
    <w:rsid w:val="007B606D"/>
    <w:rsid w:val="007B66E9"/>
    <w:rsid w:val="007B7DD5"/>
    <w:rsid w:val="007C01A8"/>
    <w:rsid w:val="007C07B4"/>
    <w:rsid w:val="007C0D5E"/>
    <w:rsid w:val="007C0E37"/>
    <w:rsid w:val="007C1C36"/>
    <w:rsid w:val="007C237E"/>
    <w:rsid w:val="007C30FA"/>
    <w:rsid w:val="007C3947"/>
    <w:rsid w:val="007C3DC2"/>
    <w:rsid w:val="007C59CB"/>
    <w:rsid w:val="007C5FD2"/>
    <w:rsid w:val="007C6674"/>
    <w:rsid w:val="007C6927"/>
    <w:rsid w:val="007C69A1"/>
    <w:rsid w:val="007C6C45"/>
    <w:rsid w:val="007C6CD7"/>
    <w:rsid w:val="007D06F8"/>
    <w:rsid w:val="007D0CB0"/>
    <w:rsid w:val="007D0F5E"/>
    <w:rsid w:val="007D10A0"/>
    <w:rsid w:val="007D1A17"/>
    <w:rsid w:val="007D1F70"/>
    <w:rsid w:val="007D2320"/>
    <w:rsid w:val="007D2693"/>
    <w:rsid w:val="007D26CC"/>
    <w:rsid w:val="007D3377"/>
    <w:rsid w:val="007D38A7"/>
    <w:rsid w:val="007D3B3B"/>
    <w:rsid w:val="007D3BA7"/>
    <w:rsid w:val="007D4301"/>
    <w:rsid w:val="007D599B"/>
    <w:rsid w:val="007D615B"/>
    <w:rsid w:val="007D7705"/>
    <w:rsid w:val="007D7772"/>
    <w:rsid w:val="007D7AD6"/>
    <w:rsid w:val="007D7EEE"/>
    <w:rsid w:val="007D7EF9"/>
    <w:rsid w:val="007E0B6F"/>
    <w:rsid w:val="007E1100"/>
    <w:rsid w:val="007E1CEE"/>
    <w:rsid w:val="007E2E51"/>
    <w:rsid w:val="007E3195"/>
    <w:rsid w:val="007E4C0D"/>
    <w:rsid w:val="007E4F6B"/>
    <w:rsid w:val="007E4FBE"/>
    <w:rsid w:val="007E5534"/>
    <w:rsid w:val="007E712D"/>
    <w:rsid w:val="007F11E7"/>
    <w:rsid w:val="007F1B84"/>
    <w:rsid w:val="007F23FC"/>
    <w:rsid w:val="007F3FBA"/>
    <w:rsid w:val="007F40BB"/>
    <w:rsid w:val="007F488E"/>
    <w:rsid w:val="007F4BA3"/>
    <w:rsid w:val="007F5AFA"/>
    <w:rsid w:val="007F75D0"/>
    <w:rsid w:val="008005D2"/>
    <w:rsid w:val="008027E8"/>
    <w:rsid w:val="00802B05"/>
    <w:rsid w:val="008042EE"/>
    <w:rsid w:val="00804DD9"/>
    <w:rsid w:val="0080521E"/>
    <w:rsid w:val="008070B9"/>
    <w:rsid w:val="00810E35"/>
    <w:rsid w:val="008114B4"/>
    <w:rsid w:val="00811912"/>
    <w:rsid w:val="00811BE2"/>
    <w:rsid w:val="0081204C"/>
    <w:rsid w:val="00812E86"/>
    <w:rsid w:val="00813C9A"/>
    <w:rsid w:val="008141E7"/>
    <w:rsid w:val="00814517"/>
    <w:rsid w:val="00815074"/>
    <w:rsid w:val="00815BAF"/>
    <w:rsid w:val="0081707A"/>
    <w:rsid w:val="008174DE"/>
    <w:rsid w:val="00817EED"/>
    <w:rsid w:val="00820201"/>
    <w:rsid w:val="00820707"/>
    <w:rsid w:val="0082104C"/>
    <w:rsid w:val="008212BF"/>
    <w:rsid w:val="008215F2"/>
    <w:rsid w:val="00821E38"/>
    <w:rsid w:val="008235EC"/>
    <w:rsid w:val="00823915"/>
    <w:rsid w:val="00823B9A"/>
    <w:rsid w:val="008246B5"/>
    <w:rsid w:val="00824AC7"/>
    <w:rsid w:val="00824D53"/>
    <w:rsid w:val="00825101"/>
    <w:rsid w:val="008256F2"/>
    <w:rsid w:val="00825910"/>
    <w:rsid w:val="00825D50"/>
    <w:rsid w:val="00825EF6"/>
    <w:rsid w:val="00826EF2"/>
    <w:rsid w:val="00826FA5"/>
    <w:rsid w:val="00827C80"/>
    <w:rsid w:val="00830C6E"/>
    <w:rsid w:val="008325AC"/>
    <w:rsid w:val="00832CA6"/>
    <w:rsid w:val="008337A8"/>
    <w:rsid w:val="00835FC8"/>
    <w:rsid w:val="00836270"/>
    <w:rsid w:val="008362C0"/>
    <w:rsid w:val="00836A0A"/>
    <w:rsid w:val="00837B5C"/>
    <w:rsid w:val="00840798"/>
    <w:rsid w:val="00841347"/>
    <w:rsid w:val="008413C2"/>
    <w:rsid w:val="008422B0"/>
    <w:rsid w:val="008426E7"/>
    <w:rsid w:val="00843A72"/>
    <w:rsid w:val="00843D08"/>
    <w:rsid w:val="00843F49"/>
    <w:rsid w:val="008447BF"/>
    <w:rsid w:val="0084562A"/>
    <w:rsid w:val="00845F03"/>
    <w:rsid w:val="008467A2"/>
    <w:rsid w:val="00846F61"/>
    <w:rsid w:val="008503E9"/>
    <w:rsid w:val="0085050D"/>
    <w:rsid w:val="00850D3B"/>
    <w:rsid w:val="0085106B"/>
    <w:rsid w:val="008521FF"/>
    <w:rsid w:val="0085304F"/>
    <w:rsid w:val="008533E4"/>
    <w:rsid w:val="008538C1"/>
    <w:rsid w:val="008538E7"/>
    <w:rsid w:val="00853B73"/>
    <w:rsid w:val="008560C2"/>
    <w:rsid w:val="00860756"/>
    <w:rsid w:val="00860BD4"/>
    <w:rsid w:val="00860D42"/>
    <w:rsid w:val="008618FF"/>
    <w:rsid w:val="0086254A"/>
    <w:rsid w:val="00862597"/>
    <w:rsid w:val="00862D80"/>
    <w:rsid w:val="0086403B"/>
    <w:rsid w:val="00864091"/>
    <w:rsid w:val="008648E7"/>
    <w:rsid w:val="0086524E"/>
    <w:rsid w:val="00865477"/>
    <w:rsid w:val="00865B51"/>
    <w:rsid w:val="00865FA9"/>
    <w:rsid w:val="008700D1"/>
    <w:rsid w:val="00870D64"/>
    <w:rsid w:val="00870F79"/>
    <w:rsid w:val="00871D2E"/>
    <w:rsid w:val="0087216E"/>
    <w:rsid w:val="00872FA3"/>
    <w:rsid w:val="008731FF"/>
    <w:rsid w:val="008739AC"/>
    <w:rsid w:val="00873A19"/>
    <w:rsid w:val="0087423C"/>
    <w:rsid w:val="0087478F"/>
    <w:rsid w:val="00874CBB"/>
    <w:rsid w:val="008756DF"/>
    <w:rsid w:val="00875759"/>
    <w:rsid w:val="0087644D"/>
    <w:rsid w:val="00876927"/>
    <w:rsid w:val="0087730C"/>
    <w:rsid w:val="00877A43"/>
    <w:rsid w:val="00877D6B"/>
    <w:rsid w:val="00880DB3"/>
    <w:rsid w:val="0088182E"/>
    <w:rsid w:val="00881F4B"/>
    <w:rsid w:val="008827C8"/>
    <w:rsid w:val="00882CF8"/>
    <w:rsid w:val="00883996"/>
    <w:rsid w:val="00883C03"/>
    <w:rsid w:val="00883E8C"/>
    <w:rsid w:val="00884924"/>
    <w:rsid w:val="0088531B"/>
    <w:rsid w:val="008854E0"/>
    <w:rsid w:val="00887494"/>
    <w:rsid w:val="00890594"/>
    <w:rsid w:val="008906A6"/>
    <w:rsid w:val="0089074F"/>
    <w:rsid w:val="00890C8F"/>
    <w:rsid w:val="00891FBA"/>
    <w:rsid w:val="008927B7"/>
    <w:rsid w:val="00893B20"/>
    <w:rsid w:val="0089431F"/>
    <w:rsid w:val="008946DC"/>
    <w:rsid w:val="00895610"/>
    <w:rsid w:val="00896CAF"/>
    <w:rsid w:val="008977B1"/>
    <w:rsid w:val="008979ED"/>
    <w:rsid w:val="00897E5D"/>
    <w:rsid w:val="008A00D1"/>
    <w:rsid w:val="008A0820"/>
    <w:rsid w:val="008A1D10"/>
    <w:rsid w:val="008A3B24"/>
    <w:rsid w:val="008A4A6C"/>
    <w:rsid w:val="008A4B9C"/>
    <w:rsid w:val="008A4CEA"/>
    <w:rsid w:val="008A6476"/>
    <w:rsid w:val="008A650B"/>
    <w:rsid w:val="008A65F6"/>
    <w:rsid w:val="008A6815"/>
    <w:rsid w:val="008A6C7D"/>
    <w:rsid w:val="008A7FBA"/>
    <w:rsid w:val="008B03F5"/>
    <w:rsid w:val="008B10C6"/>
    <w:rsid w:val="008B21EF"/>
    <w:rsid w:val="008B2B06"/>
    <w:rsid w:val="008B3659"/>
    <w:rsid w:val="008B3CF1"/>
    <w:rsid w:val="008B4209"/>
    <w:rsid w:val="008B49E1"/>
    <w:rsid w:val="008B55E4"/>
    <w:rsid w:val="008B6A1C"/>
    <w:rsid w:val="008B6E27"/>
    <w:rsid w:val="008C0BD6"/>
    <w:rsid w:val="008C0E3C"/>
    <w:rsid w:val="008C13B0"/>
    <w:rsid w:val="008C1549"/>
    <w:rsid w:val="008C2CBE"/>
    <w:rsid w:val="008C499D"/>
    <w:rsid w:val="008C5F0E"/>
    <w:rsid w:val="008C6265"/>
    <w:rsid w:val="008C65C0"/>
    <w:rsid w:val="008C76C1"/>
    <w:rsid w:val="008D081F"/>
    <w:rsid w:val="008D2EF4"/>
    <w:rsid w:val="008D39F0"/>
    <w:rsid w:val="008D527E"/>
    <w:rsid w:val="008D57FD"/>
    <w:rsid w:val="008D6645"/>
    <w:rsid w:val="008D6816"/>
    <w:rsid w:val="008D68AB"/>
    <w:rsid w:val="008D6DE7"/>
    <w:rsid w:val="008D6FA8"/>
    <w:rsid w:val="008D7EB7"/>
    <w:rsid w:val="008E0709"/>
    <w:rsid w:val="008E0744"/>
    <w:rsid w:val="008E1761"/>
    <w:rsid w:val="008E1834"/>
    <w:rsid w:val="008E19BC"/>
    <w:rsid w:val="008E373E"/>
    <w:rsid w:val="008E3A1A"/>
    <w:rsid w:val="008E3F43"/>
    <w:rsid w:val="008E4B11"/>
    <w:rsid w:val="008E5378"/>
    <w:rsid w:val="008E6DBC"/>
    <w:rsid w:val="008E78D4"/>
    <w:rsid w:val="008F0295"/>
    <w:rsid w:val="008F02ED"/>
    <w:rsid w:val="008F0B93"/>
    <w:rsid w:val="008F1750"/>
    <w:rsid w:val="008F1E77"/>
    <w:rsid w:val="008F2218"/>
    <w:rsid w:val="008F2417"/>
    <w:rsid w:val="008F2462"/>
    <w:rsid w:val="008F5C01"/>
    <w:rsid w:val="008F5E77"/>
    <w:rsid w:val="008F668F"/>
    <w:rsid w:val="008F6F7B"/>
    <w:rsid w:val="008F6F91"/>
    <w:rsid w:val="008F7353"/>
    <w:rsid w:val="008F7B94"/>
    <w:rsid w:val="00900016"/>
    <w:rsid w:val="00901D6B"/>
    <w:rsid w:val="00902DE2"/>
    <w:rsid w:val="00903354"/>
    <w:rsid w:val="00904812"/>
    <w:rsid w:val="009057D5"/>
    <w:rsid w:val="0090629D"/>
    <w:rsid w:val="0090635D"/>
    <w:rsid w:val="00906425"/>
    <w:rsid w:val="00906D68"/>
    <w:rsid w:val="00906DCF"/>
    <w:rsid w:val="00907C78"/>
    <w:rsid w:val="00910733"/>
    <w:rsid w:val="0091101B"/>
    <w:rsid w:val="00911A93"/>
    <w:rsid w:val="00912BD4"/>
    <w:rsid w:val="00913153"/>
    <w:rsid w:val="00913925"/>
    <w:rsid w:val="009146E2"/>
    <w:rsid w:val="00915396"/>
    <w:rsid w:val="009156BD"/>
    <w:rsid w:val="009158C5"/>
    <w:rsid w:val="00916045"/>
    <w:rsid w:val="0091667D"/>
    <w:rsid w:val="00916D00"/>
    <w:rsid w:val="00916D39"/>
    <w:rsid w:val="00917BB4"/>
    <w:rsid w:val="00920D49"/>
    <w:rsid w:val="00922144"/>
    <w:rsid w:val="00922DA9"/>
    <w:rsid w:val="00922DFA"/>
    <w:rsid w:val="00922EB4"/>
    <w:rsid w:val="00924F1E"/>
    <w:rsid w:val="00926615"/>
    <w:rsid w:val="00926CC7"/>
    <w:rsid w:val="00927163"/>
    <w:rsid w:val="00927250"/>
    <w:rsid w:val="009303E8"/>
    <w:rsid w:val="00930AF4"/>
    <w:rsid w:val="00931C3C"/>
    <w:rsid w:val="009326BD"/>
    <w:rsid w:val="009328FE"/>
    <w:rsid w:val="0093398F"/>
    <w:rsid w:val="009347D8"/>
    <w:rsid w:val="00934966"/>
    <w:rsid w:val="00934BC0"/>
    <w:rsid w:val="00935795"/>
    <w:rsid w:val="009365E2"/>
    <w:rsid w:val="00937C83"/>
    <w:rsid w:val="00940547"/>
    <w:rsid w:val="00942977"/>
    <w:rsid w:val="0094621D"/>
    <w:rsid w:val="00946465"/>
    <w:rsid w:val="00946B88"/>
    <w:rsid w:val="00947C43"/>
    <w:rsid w:val="00950908"/>
    <w:rsid w:val="00950CC1"/>
    <w:rsid w:val="009510B1"/>
    <w:rsid w:val="00951A0A"/>
    <w:rsid w:val="009522AE"/>
    <w:rsid w:val="009525CA"/>
    <w:rsid w:val="009531A7"/>
    <w:rsid w:val="0095484D"/>
    <w:rsid w:val="00954BDD"/>
    <w:rsid w:val="00954F6B"/>
    <w:rsid w:val="00955103"/>
    <w:rsid w:val="009554B5"/>
    <w:rsid w:val="00956797"/>
    <w:rsid w:val="009634C1"/>
    <w:rsid w:val="00963690"/>
    <w:rsid w:val="0096473A"/>
    <w:rsid w:val="009647A9"/>
    <w:rsid w:val="00964E3F"/>
    <w:rsid w:val="0096569A"/>
    <w:rsid w:val="00965E8E"/>
    <w:rsid w:val="009661CA"/>
    <w:rsid w:val="009667C2"/>
    <w:rsid w:val="00967DC5"/>
    <w:rsid w:val="00971906"/>
    <w:rsid w:val="00972BF8"/>
    <w:rsid w:val="00972CB7"/>
    <w:rsid w:val="00972D28"/>
    <w:rsid w:val="00972F65"/>
    <w:rsid w:val="00973CC3"/>
    <w:rsid w:val="00974933"/>
    <w:rsid w:val="00974B64"/>
    <w:rsid w:val="00974C01"/>
    <w:rsid w:val="00974E84"/>
    <w:rsid w:val="00975EFA"/>
    <w:rsid w:val="00975FA7"/>
    <w:rsid w:val="00977740"/>
    <w:rsid w:val="00980482"/>
    <w:rsid w:val="00981261"/>
    <w:rsid w:val="009812FB"/>
    <w:rsid w:val="00981B6F"/>
    <w:rsid w:val="00982014"/>
    <w:rsid w:val="009836F7"/>
    <w:rsid w:val="00983865"/>
    <w:rsid w:val="00983BFD"/>
    <w:rsid w:val="0098471A"/>
    <w:rsid w:val="00984CAE"/>
    <w:rsid w:val="00985A37"/>
    <w:rsid w:val="0098621F"/>
    <w:rsid w:val="00986488"/>
    <w:rsid w:val="00986769"/>
    <w:rsid w:val="00986812"/>
    <w:rsid w:val="009869F4"/>
    <w:rsid w:val="00987020"/>
    <w:rsid w:val="0098706B"/>
    <w:rsid w:val="009875FA"/>
    <w:rsid w:val="0099137D"/>
    <w:rsid w:val="0099172D"/>
    <w:rsid w:val="00991B5C"/>
    <w:rsid w:val="00991E89"/>
    <w:rsid w:val="00992137"/>
    <w:rsid w:val="00992653"/>
    <w:rsid w:val="0099271E"/>
    <w:rsid w:val="00992775"/>
    <w:rsid w:val="00992CB3"/>
    <w:rsid w:val="009941EF"/>
    <w:rsid w:val="0099619D"/>
    <w:rsid w:val="00996478"/>
    <w:rsid w:val="0099728A"/>
    <w:rsid w:val="00997459"/>
    <w:rsid w:val="009A1D7F"/>
    <w:rsid w:val="009A2F25"/>
    <w:rsid w:val="009A36D3"/>
    <w:rsid w:val="009A45CF"/>
    <w:rsid w:val="009A4BF4"/>
    <w:rsid w:val="009A4C67"/>
    <w:rsid w:val="009A4EB3"/>
    <w:rsid w:val="009A5500"/>
    <w:rsid w:val="009A5ACC"/>
    <w:rsid w:val="009A75FC"/>
    <w:rsid w:val="009A7D77"/>
    <w:rsid w:val="009A7FE1"/>
    <w:rsid w:val="009B06C5"/>
    <w:rsid w:val="009B0ACC"/>
    <w:rsid w:val="009B0EEA"/>
    <w:rsid w:val="009B20B7"/>
    <w:rsid w:val="009B22C1"/>
    <w:rsid w:val="009B2846"/>
    <w:rsid w:val="009B3BCF"/>
    <w:rsid w:val="009B4518"/>
    <w:rsid w:val="009B4B92"/>
    <w:rsid w:val="009B5381"/>
    <w:rsid w:val="009B6631"/>
    <w:rsid w:val="009B7857"/>
    <w:rsid w:val="009C053E"/>
    <w:rsid w:val="009C06AA"/>
    <w:rsid w:val="009C1584"/>
    <w:rsid w:val="009C15EF"/>
    <w:rsid w:val="009C20B3"/>
    <w:rsid w:val="009C43FF"/>
    <w:rsid w:val="009C4873"/>
    <w:rsid w:val="009C490D"/>
    <w:rsid w:val="009C523C"/>
    <w:rsid w:val="009C5870"/>
    <w:rsid w:val="009C5F2E"/>
    <w:rsid w:val="009C6E0E"/>
    <w:rsid w:val="009C7500"/>
    <w:rsid w:val="009C7F57"/>
    <w:rsid w:val="009D1001"/>
    <w:rsid w:val="009D10CE"/>
    <w:rsid w:val="009D1283"/>
    <w:rsid w:val="009D1768"/>
    <w:rsid w:val="009D2884"/>
    <w:rsid w:val="009D3292"/>
    <w:rsid w:val="009D3458"/>
    <w:rsid w:val="009D3A1E"/>
    <w:rsid w:val="009D45CC"/>
    <w:rsid w:val="009D5D0E"/>
    <w:rsid w:val="009D5D4C"/>
    <w:rsid w:val="009E01B3"/>
    <w:rsid w:val="009E0664"/>
    <w:rsid w:val="009E0E90"/>
    <w:rsid w:val="009E2368"/>
    <w:rsid w:val="009E257E"/>
    <w:rsid w:val="009E7572"/>
    <w:rsid w:val="009F182E"/>
    <w:rsid w:val="009F1C15"/>
    <w:rsid w:val="009F2391"/>
    <w:rsid w:val="009F4587"/>
    <w:rsid w:val="009F6C68"/>
    <w:rsid w:val="009F72A6"/>
    <w:rsid w:val="009F73E1"/>
    <w:rsid w:val="009F7F5A"/>
    <w:rsid w:val="00A02757"/>
    <w:rsid w:val="00A035F7"/>
    <w:rsid w:val="00A039BE"/>
    <w:rsid w:val="00A03A0F"/>
    <w:rsid w:val="00A046B7"/>
    <w:rsid w:val="00A04CC4"/>
    <w:rsid w:val="00A04D6A"/>
    <w:rsid w:val="00A05228"/>
    <w:rsid w:val="00A057E6"/>
    <w:rsid w:val="00A058E9"/>
    <w:rsid w:val="00A06066"/>
    <w:rsid w:val="00A06699"/>
    <w:rsid w:val="00A07562"/>
    <w:rsid w:val="00A1233B"/>
    <w:rsid w:val="00A12404"/>
    <w:rsid w:val="00A13773"/>
    <w:rsid w:val="00A137E4"/>
    <w:rsid w:val="00A15389"/>
    <w:rsid w:val="00A16C1E"/>
    <w:rsid w:val="00A170D6"/>
    <w:rsid w:val="00A17255"/>
    <w:rsid w:val="00A20196"/>
    <w:rsid w:val="00A20731"/>
    <w:rsid w:val="00A20A7A"/>
    <w:rsid w:val="00A217A7"/>
    <w:rsid w:val="00A21E8B"/>
    <w:rsid w:val="00A21ED8"/>
    <w:rsid w:val="00A22B7D"/>
    <w:rsid w:val="00A2300F"/>
    <w:rsid w:val="00A23823"/>
    <w:rsid w:val="00A2472A"/>
    <w:rsid w:val="00A24C1A"/>
    <w:rsid w:val="00A25A50"/>
    <w:rsid w:val="00A26472"/>
    <w:rsid w:val="00A26E42"/>
    <w:rsid w:val="00A27119"/>
    <w:rsid w:val="00A30AFF"/>
    <w:rsid w:val="00A30F96"/>
    <w:rsid w:val="00A32210"/>
    <w:rsid w:val="00A33503"/>
    <w:rsid w:val="00A33968"/>
    <w:rsid w:val="00A33C92"/>
    <w:rsid w:val="00A33E0F"/>
    <w:rsid w:val="00A34C98"/>
    <w:rsid w:val="00A367A1"/>
    <w:rsid w:val="00A37211"/>
    <w:rsid w:val="00A372BE"/>
    <w:rsid w:val="00A4003E"/>
    <w:rsid w:val="00A40ABC"/>
    <w:rsid w:val="00A41E93"/>
    <w:rsid w:val="00A42EE1"/>
    <w:rsid w:val="00A42F82"/>
    <w:rsid w:val="00A430F6"/>
    <w:rsid w:val="00A43668"/>
    <w:rsid w:val="00A443B2"/>
    <w:rsid w:val="00A4460C"/>
    <w:rsid w:val="00A45D66"/>
    <w:rsid w:val="00A46150"/>
    <w:rsid w:val="00A4631C"/>
    <w:rsid w:val="00A468E9"/>
    <w:rsid w:val="00A47D48"/>
    <w:rsid w:val="00A5274B"/>
    <w:rsid w:val="00A530DE"/>
    <w:rsid w:val="00A5313E"/>
    <w:rsid w:val="00A53E7E"/>
    <w:rsid w:val="00A53EE3"/>
    <w:rsid w:val="00A57B85"/>
    <w:rsid w:val="00A618FF"/>
    <w:rsid w:val="00A62253"/>
    <w:rsid w:val="00A62444"/>
    <w:rsid w:val="00A62538"/>
    <w:rsid w:val="00A63A74"/>
    <w:rsid w:val="00A64004"/>
    <w:rsid w:val="00A644F7"/>
    <w:rsid w:val="00A64EB3"/>
    <w:rsid w:val="00A651D6"/>
    <w:rsid w:val="00A66073"/>
    <w:rsid w:val="00A66E1A"/>
    <w:rsid w:val="00A673CE"/>
    <w:rsid w:val="00A67442"/>
    <w:rsid w:val="00A67FC8"/>
    <w:rsid w:val="00A70FAB"/>
    <w:rsid w:val="00A7127F"/>
    <w:rsid w:val="00A71385"/>
    <w:rsid w:val="00A7151A"/>
    <w:rsid w:val="00A71836"/>
    <w:rsid w:val="00A72AC4"/>
    <w:rsid w:val="00A75D38"/>
    <w:rsid w:val="00A7615E"/>
    <w:rsid w:val="00A77F8B"/>
    <w:rsid w:val="00A80462"/>
    <w:rsid w:val="00A80B46"/>
    <w:rsid w:val="00A80DED"/>
    <w:rsid w:val="00A80EB9"/>
    <w:rsid w:val="00A81781"/>
    <w:rsid w:val="00A82F9D"/>
    <w:rsid w:val="00A83491"/>
    <w:rsid w:val="00A83DE8"/>
    <w:rsid w:val="00A85849"/>
    <w:rsid w:val="00A86883"/>
    <w:rsid w:val="00A874C1"/>
    <w:rsid w:val="00A91391"/>
    <w:rsid w:val="00A91F77"/>
    <w:rsid w:val="00A920BA"/>
    <w:rsid w:val="00A95AC9"/>
    <w:rsid w:val="00A96800"/>
    <w:rsid w:val="00A96B87"/>
    <w:rsid w:val="00A97147"/>
    <w:rsid w:val="00A972F1"/>
    <w:rsid w:val="00A9761D"/>
    <w:rsid w:val="00A97FDB"/>
    <w:rsid w:val="00AA00E9"/>
    <w:rsid w:val="00AA1CE7"/>
    <w:rsid w:val="00AA2D6C"/>
    <w:rsid w:val="00AA32D0"/>
    <w:rsid w:val="00AA3BE4"/>
    <w:rsid w:val="00AA5C71"/>
    <w:rsid w:val="00AB19AB"/>
    <w:rsid w:val="00AB1F0C"/>
    <w:rsid w:val="00AB218B"/>
    <w:rsid w:val="00AB359E"/>
    <w:rsid w:val="00AB3E3D"/>
    <w:rsid w:val="00AB52B7"/>
    <w:rsid w:val="00AC1822"/>
    <w:rsid w:val="00AC20B7"/>
    <w:rsid w:val="00AC20BE"/>
    <w:rsid w:val="00AC2BD2"/>
    <w:rsid w:val="00AC3748"/>
    <w:rsid w:val="00AC38B9"/>
    <w:rsid w:val="00AC5521"/>
    <w:rsid w:val="00AD17A7"/>
    <w:rsid w:val="00AD1AEA"/>
    <w:rsid w:val="00AD28CB"/>
    <w:rsid w:val="00AD2F15"/>
    <w:rsid w:val="00AD3337"/>
    <w:rsid w:val="00AD3552"/>
    <w:rsid w:val="00AD41F6"/>
    <w:rsid w:val="00AD4DA5"/>
    <w:rsid w:val="00AD5563"/>
    <w:rsid w:val="00AD5B80"/>
    <w:rsid w:val="00AD5D40"/>
    <w:rsid w:val="00AD6387"/>
    <w:rsid w:val="00AD6748"/>
    <w:rsid w:val="00AD7B10"/>
    <w:rsid w:val="00AD7C3D"/>
    <w:rsid w:val="00AE1C9F"/>
    <w:rsid w:val="00AE2EFA"/>
    <w:rsid w:val="00AE36BC"/>
    <w:rsid w:val="00AE4146"/>
    <w:rsid w:val="00AE75C3"/>
    <w:rsid w:val="00AE79A5"/>
    <w:rsid w:val="00AE7D3B"/>
    <w:rsid w:val="00AF03BF"/>
    <w:rsid w:val="00AF05D0"/>
    <w:rsid w:val="00AF1087"/>
    <w:rsid w:val="00AF19AA"/>
    <w:rsid w:val="00AF51EC"/>
    <w:rsid w:val="00AF573B"/>
    <w:rsid w:val="00AF64E4"/>
    <w:rsid w:val="00AF65A1"/>
    <w:rsid w:val="00AF723A"/>
    <w:rsid w:val="00AF73E2"/>
    <w:rsid w:val="00AF75BB"/>
    <w:rsid w:val="00AF7CE1"/>
    <w:rsid w:val="00B00DE5"/>
    <w:rsid w:val="00B013AA"/>
    <w:rsid w:val="00B015C3"/>
    <w:rsid w:val="00B01956"/>
    <w:rsid w:val="00B03A32"/>
    <w:rsid w:val="00B04A42"/>
    <w:rsid w:val="00B04F29"/>
    <w:rsid w:val="00B05067"/>
    <w:rsid w:val="00B055B3"/>
    <w:rsid w:val="00B06321"/>
    <w:rsid w:val="00B0667E"/>
    <w:rsid w:val="00B066DC"/>
    <w:rsid w:val="00B07F2A"/>
    <w:rsid w:val="00B10155"/>
    <w:rsid w:val="00B108DA"/>
    <w:rsid w:val="00B10E21"/>
    <w:rsid w:val="00B11A86"/>
    <w:rsid w:val="00B11CDE"/>
    <w:rsid w:val="00B12DEF"/>
    <w:rsid w:val="00B137EF"/>
    <w:rsid w:val="00B13846"/>
    <w:rsid w:val="00B13A04"/>
    <w:rsid w:val="00B14A70"/>
    <w:rsid w:val="00B15C1F"/>
    <w:rsid w:val="00B160B6"/>
    <w:rsid w:val="00B164C3"/>
    <w:rsid w:val="00B17E26"/>
    <w:rsid w:val="00B204B8"/>
    <w:rsid w:val="00B209B0"/>
    <w:rsid w:val="00B20F6F"/>
    <w:rsid w:val="00B21B94"/>
    <w:rsid w:val="00B21C04"/>
    <w:rsid w:val="00B224B9"/>
    <w:rsid w:val="00B22612"/>
    <w:rsid w:val="00B22BDA"/>
    <w:rsid w:val="00B23F53"/>
    <w:rsid w:val="00B24EDB"/>
    <w:rsid w:val="00B24EE5"/>
    <w:rsid w:val="00B24F54"/>
    <w:rsid w:val="00B2504B"/>
    <w:rsid w:val="00B25896"/>
    <w:rsid w:val="00B26FAA"/>
    <w:rsid w:val="00B27348"/>
    <w:rsid w:val="00B31F70"/>
    <w:rsid w:val="00B32482"/>
    <w:rsid w:val="00B32530"/>
    <w:rsid w:val="00B32CDB"/>
    <w:rsid w:val="00B33140"/>
    <w:rsid w:val="00B33B6E"/>
    <w:rsid w:val="00B34228"/>
    <w:rsid w:val="00B34235"/>
    <w:rsid w:val="00B3434B"/>
    <w:rsid w:val="00B367F3"/>
    <w:rsid w:val="00B3760B"/>
    <w:rsid w:val="00B417C7"/>
    <w:rsid w:val="00B4185E"/>
    <w:rsid w:val="00B41E62"/>
    <w:rsid w:val="00B420D7"/>
    <w:rsid w:val="00B4233D"/>
    <w:rsid w:val="00B42721"/>
    <w:rsid w:val="00B42D0E"/>
    <w:rsid w:val="00B43637"/>
    <w:rsid w:val="00B44046"/>
    <w:rsid w:val="00B448FC"/>
    <w:rsid w:val="00B44CE4"/>
    <w:rsid w:val="00B45DE2"/>
    <w:rsid w:val="00B46069"/>
    <w:rsid w:val="00B460AF"/>
    <w:rsid w:val="00B472D7"/>
    <w:rsid w:val="00B473E0"/>
    <w:rsid w:val="00B47ADE"/>
    <w:rsid w:val="00B502DD"/>
    <w:rsid w:val="00B51178"/>
    <w:rsid w:val="00B51E92"/>
    <w:rsid w:val="00B52922"/>
    <w:rsid w:val="00B53EB8"/>
    <w:rsid w:val="00B55205"/>
    <w:rsid w:val="00B56D74"/>
    <w:rsid w:val="00B570DA"/>
    <w:rsid w:val="00B5769F"/>
    <w:rsid w:val="00B57B24"/>
    <w:rsid w:val="00B66703"/>
    <w:rsid w:val="00B67C07"/>
    <w:rsid w:val="00B700C9"/>
    <w:rsid w:val="00B7104A"/>
    <w:rsid w:val="00B71158"/>
    <w:rsid w:val="00B71626"/>
    <w:rsid w:val="00B72728"/>
    <w:rsid w:val="00B7301F"/>
    <w:rsid w:val="00B73B01"/>
    <w:rsid w:val="00B73CE0"/>
    <w:rsid w:val="00B73DBA"/>
    <w:rsid w:val="00B74371"/>
    <w:rsid w:val="00B7444E"/>
    <w:rsid w:val="00B7560E"/>
    <w:rsid w:val="00B76922"/>
    <w:rsid w:val="00B76FF4"/>
    <w:rsid w:val="00B80921"/>
    <w:rsid w:val="00B80E67"/>
    <w:rsid w:val="00B8377E"/>
    <w:rsid w:val="00B83DB3"/>
    <w:rsid w:val="00B83F07"/>
    <w:rsid w:val="00B844DC"/>
    <w:rsid w:val="00B84787"/>
    <w:rsid w:val="00B84FD6"/>
    <w:rsid w:val="00B857E7"/>
    <w:rsid w:val="00B860CF"/>
    <w:rsid w:val="00B86CA1"/>
    <w:rsid w:val="00B90781"/>
    <w:rsid w:val="00B908C9"/>
    <w:rsid w:val="00B9107D"/>
    <w:rsid w:val="00B9236B"/>
    <w:rsid w:val="00B928BA"/>
    <w:rsid w:val="00B92E41"/>
    <w:rsid w:val="00B93143"/>
    <w:rsid w:val="00B9399E"/>
    <w:rsid w:val="00B93A44"/>
    <w:rsid w:val="00B93C71"/>
    <w:rsid w:val="00B93D72"/>
    <w:rsid w:val="00B9404F"/>
    <w:rsid w:val="00B9448C"/>
    <w:rsid w:val="00B9591C"/>
    <w:rsid w:val="00B959BF"/>
    <w:rsid w:val="00B95D28"/>
    <w:rsid w:val="00B963F6"/>
    <w:rsid w:val="00B96BF9"/>
    <w:rsid w:val="00B97148"/>
    <w:rsid w:val="00B97FBA"/>
    <w:rsid w:val="00BA1231"/>
    <w:rsid w:val="00BA139A"/>
    <w:rsid w:val="00BA345A"/>
    <w:rsid w:val="00BA399F"/>
    <w:rsid w:val="00BA4E03"/>
    <w:rsid w:val="00BA4EC6"/>
    <w:rsid w:val="00BA5CA2"/>
    <w:rsid w:val="00BA5FBA"/>
    <w:rsid w:val="00BA6587"/>
    <w:rsid w:val="00BA67F8"/>
    <w:rsid w:val="00BA7015"/>
    <w:rsid w:val="00BA7027"/>
    <w:rsid w:val="00BA7D06"/>
    <w:rsid w:val="00BB0171"/>
    <w:rsid w:val="00BB0EE7"/>
    <w:rsid w:val="00BB1B68"/>
    <w:rsid w:val="00BB1BC6"/>
    <w:rsid w:val="00BB2991"/>
    <w:rsid w:val="00BB2B6E"/>
    <w:rsid w:val="00BB2D15"/>
    <w:rsid w:val="00BB4723"/>
    <w:rsid w:val="00BB50F4"/>
    <w:rsid w:val="00BB59A2"/>
    <w:rsid w:val="00BB6751"/>
    <w:rsid w:val="00BC0A7E"/>
    <w:rsid w:val="00BC265A"/>
    <w:rsid w:val="00BC2D9B"/>
    <w:rsid w:val="00BC2F91"/>
    <w:rsid w:val="00BC3378"/>
    <w:rsid w:val="00BC3CA3"/>
    <w:rsid w:val="00BC3D00"/>
    <w:rsid w:val="00BC3E84"/>
    <w:rsid w:val="00BC7367"/>
    <w:rsid w:val="00BC76BF"/>
    <w:rsid w:val="00BC7B69"/>
    <w:rsid w:val="00BC7FBB"/>
    <w:rsid w:val="00BD04DD"/>
    <w:rsid w:val="00BD102C"/>
    <w:rsid w:val="00BD1293"/>
    <w:rsid w:val="00BD1360"/>
    <w:rsid w:val="00BD1626"/>
    <w:rsid w:val="00BD2CD6"/>
    <w:rsid w:val="00BD3851"/>
    <w:rsid w:val="00BD3E6D"/>
    <w:rsid w:val="00BD7E69"/>
    <w:rsid w:val="00BE0371"/>
    <w:rsid w:val="00BE0753"/>
    <w:rsid w:val="00BE0A1E"/>
    <w:rsid w:val="00BE0CFE"/>
    <w:rsid w:val="00BE1F75"/>
    <w:rsid w:val="00BE22D1"/>
    <w:rsid w:val="00BE2302"/>
    <w:rsid w:val="00BE3323"/>
    <w:rsid w:val="00BE3869"/>
    <w:rsid w:val="00BE4458"/>
    <w:rsid w:val="00BE4E13"/>
    <w:rsid w:val="00BE4F3B"/>
    <w:rsid w:val="00BE5599"/>
    <w:rsid w:val="00BE5893"/>
    <w:rsid w:val="00BE5FA4"/>
    <w:rsid w:val="00BE63F8"/>
    <w:rsid w:val="00BE6FF3"/>
    <w:rsid w:val="00BE726F"/>
    <w:rsid w:val="00BF00F2"/>
    <w:rsid w:val="00BF0CA6"/>
    <w:rsid w:val="00BF1791"/>
    <w:rsid w:val="00BF1E91"/>
    <w:rsid w:val="00BF2F4F"/>
    <w:rsid w:val="00BF2FBB"/>
    <w:rsid w:val="00BF3813"/>
    <w:rsid w:val="00BF40C2"/>
    <w:rsid w:val="00BF488D"/>
    <w:rsid w:val="00BF5C54"/>
    <w:rsid w:val="00BF5C66"/>
    <w:rsid w:val="00BF5FC8"/>
    <w:rsid w:val="00BF5FDF"/>
    <w:rsid w:val="00BF60F6"/>
    <w:rsid w:val="00BF6347"/>
    <w:rsid w:val="00BF63BB"/>
    <w:rsid w:val="00BF6AD0"/>
    <w:rsid w:val="00BF7011"/>
    <w:rsid w:val="00BF753D"/>
    <w:rsid w:val="00BF7C43"/>
    <w:rsid w:val="00C00BB4"/>
    <w:rsid w:val="00C01051"/>
    <w:rsid w:val="00C014E1"/>
    <w:rsid w:val="00C02B94"/>
    <w:rsid w:val="00C038D6"/>
    <w:rsid w:val="00C050A7"/>
    <w:rsid w:val="00C05902"/>
    <w:rsid w:val="00C05A23"/>
    <w:rsid w:val="00C05F36"/>
    <w:rsid w:val="00C06BBD"/>
    <w:rsid w:val="00C06C5B"/>
    <w:rsid w:val="00C06D34"/>
    <w:rsid w:val="00C10969"/>
    <w:rsid w:val="00C117BB"/>
    <w:rsid w:val="00C11FE5"/>
    <w:rsid w:val="00C130E7"/>
    <w:rsid w:val="00C13934"/>
    <w:rsid w:val="00C147A9"/>
    <w:rsid w:val="00C15356"/>
    <w:rsid w:val="00C15CFE"/>
    <w:rsid w:val="00C16725"/>
    <w:rsid w:val="00C16FAF"/>
    <w:rsid w:val="00C1762B"/>
    <w:rsid w:val="00C2239A"/>
    <w:rsid w:val="00C23720"/>
    <w:rsid w:val="00C2431D"/>
    <w:rsid w:val="00C2439B"/>
    <w:rsid w:val="00C2457D"/>
    <w:rsid w:val="00C25226"/>
    <w:rsid w:val="00C2636B"/>
    <w:rsid w:val="00C2664E"/>
    <w:rsid w:val="00C26BBC"/>
    <w:rsid w:val="00C26C62"/>
    <w:rsid w:val="00C26EB6"/>
    <w:rsid w:val="00C30F51"/>
    <w:rsid w:val="00C317D8"/>
    <w:rsid w:val="00C32037"/>
    <w:rsid w:val="00C32C31"/>
    <w:rsid w:val="00C33E45"/>
    <w:rsid w:val="00C341F4"/>
    <w:rsid w:val="00C351CE"/>
    <w:rsid w:val="00C36223"/>
    <w:rsid w:val="00C366C7"/>
    <w:rsid w:val="00C37C7D"/>
    <w:rsid w:val="00C37EA2"/>
    <w:rsid w:val="00C40D2C"/>
    <w:rsid w:val="00C42ECB"/>
    <w:rsid w:val="00C43A5A"/>
    <w:rsid w:val="00C43AF5"/>
    <w:rsid w:val="00C43CB7"/>
    <w:rsid w:val="00C44A01"/>
    <w:rsid w:val="00C456FD"/>
    <w:rsid w:val="00C4573E"/>
    <w:rsid w:val="00C459CD"/>
    <w:rsid w:val="00C45AF1"/>
    <w:rsid w:val="00C45E5B"/>
    <w:rsid w:val="00C47646"/>
    <w:rsid w:val="00C5031F"/>
    <w:rsid w:val="00C50623"/>
    <w:rsid w:val="00C51CC7"/>
    <w:rsid w:val="00C53CC8"/>
    <w:rsid w:val="00C545BF"/>
    <w:rsid w:val="00C55811"/>
    <w:rsid w:val="00C55AC1"/>
    <w:rsid w:val="00C55C68"/>
    <w:rsid w:val="00C55C81"/>
    <w:rsid w:val="00C56751"/>
    <w:rsid w:val="00C5727A"/>
    <w:rsid w:val="00C573C7"/>
    <w:rsid w:val="00C613D2"/>
    <w:rsid w:val="00C61CBB"/>
    <w:rsid w:val="00C61FD2"/>
    <w:rsid w:val="00C632AB"/>
    <w:rsid w:val="00C64436"/>
    <w:rsid w:val="00C64ABC"/>
    <w:rsid w:val="00C64BC2"/>
    <w:rsid w:val="00C64F96"/>
    <w:rsid w:val="00C65039"/>
    <w:rsid w:val="00C658D9"/>
    <w:rsid w:val="00C66882"/>
    <w:rsid w:val="00C66EB3"/>
    <w:rsid w:val="00C67548"/>
    <w:rsid w:val="00C709B1"/>
    <w:rsid w:val="00C70C15"/>
    <w:rsid w:val="00C71227"/>
    <w:rsid w:val="00C71776"/>
    <w:rsid w:val="00C72E05"/>
    <w:rsid w:val="00C7388C"/>
    <w:rsid w:val="00C74434"/>
    <w:rsid w:val="00C74E9D"/>
    <w:rsid w:val="00C7538B"/>
    <w:rsid w:val="00C76BC3"/>
    <w:rsid w:val="00C80C1C"/>
    <w:rsid w:val="00C823D0"/>
    <w:rsid w:val="00C82438"/>
    <w:rsid w:val="00C82982"/>
    <w:rsid w:val="00C82E20"/>
    <w:rsid w:val="00C83169"/>
    <w:rsid w:val="00C8375C"/>
    <w:rsid w:val="00C838B5"/>
    <w:rsid w:val="00C83B05"/>
    <w:rsid w:val="00C85011"/>
    <w:rsid w:val="00C85A55"/>
    <w:rsid w:val="00C861FB"/>
    <w:rsid w:val="00C902D2"/>
    <w:rsid w:val="00C9077E"/>
    <w:rsid w:val="00C91334"/>
    <w:rsid w:val="00C9203B"/>
    <w:rsid w:val="00C92690"/>
    <w:rsid w:val="00C92CCC"/>
    <w:rsid w:val="00C92E7E"/>
    <w:rsid w:val="00C93A95"/>
    <w:rsid w:val="00C93C88"/>
    <w:rsid w:val="00CA07FF"/>
    <w:rsid w:val="00CA0C05"/>
    <w:rsid w:val="00CA0FA6"/>
    <w:rsid w:val="00CA1079"/>
    <w:rsid w:val="00CA1D5A"/>
    <w:rsid w:val="00CA2C45"/>
    <w:rsid w:val="00CA2E25"/>
    <w:rsid w:val="00CA3AE4"/>
    <w:rsid w:val="00CA4281"/>
    <w:rsid w:val="00CA53CE"/>
    <w:rsid w:val="00CA576F"/>
    <w:rsid w:val="00CA5A00"/>
    <w:rsid w:val="00CA5C48"/>
    <w:rsid w:val="00CA6AF9"/>
    <w:rsid w:val="00CA77AD"/>
    <w:rsid w:val="00CB00EE"/>
    <w:rsid w:val="00CB0129"/>
    <w:rsid w:val="00CB06C3"/>
    <w:rsid w:val="00CB366A"/>
    <w:rsid w:val="00CB3690"/>
    <w:rsid w:val="00CB3E1B"/>
    <w:rsid w:val="00CB4AE3"/>
    <w:rsid w:val="00CB5DFD"/>
    <w:rsid w:val="00CB69BB"/>
    <w:rsid w:val="00CB70E2"/>
    <w:rsid w:val="00CC0451"/>
    <w:rsid w:val="00CC06B9"/>
    <w:rsid w:val="00CC0A64"/>
    <w:rsid w:val="00CC154A"/>
    <w:rsid w:val="00CC28A6"/>
    <w:rsid w:val="00CC39B8"/>
    <w:rsid w:val="00CC456B"/>
    <w:rsid w:val="00CC4AA4"/>
    <w:rsid w:val="00CC5078"/>
    <w:rsid w:val="00CC57DF"/>
    <w:rsid w:val="00CC73E2"/>
    <w:rsid w:val="00CD04CF"/>
    <w:rsid w:val="00CD1700"/>
    <w:rsid w:val="00CD1BB9"/>
    <w:rsid w:val="00CD1CE7"/>
    <w:rsid w:val="00CD29D0"/>
    <w:rsid w:val="00CD36A5"/>
    <w:rsid w:val="00CD44E2"/>
    <w:rsid w:val="00CD5543"/>
    <w:rsid w:val="00CD5567"/>
    <w:rsid w:val="00CD6292"/>
    <w:rsid w:val="00CD6EE5"/>
    <w:rsid w:val="00CD71D7"/>
    <w:rsid w:val="00CD75F2"/>
    <w:rsid w:val="00CD773C"/>
    <w:rsid w:val="00CD7CE3"/>
    <w:rsid w:val="00CE1ADA"/>
    <w:rsid w:val="00CE25B4"/>
    <w:rsid w:val="00CE2D22"/>
    <w:rsid w:val="00CE3073"/>
    <w:rsid w:val="00CE4791"/>
    <w:rsid w:val="00CE4C55"/>
    <w:rsid w:val="00CE507B"/>
    <w:rsid w:val="00CE5140"/>
    <w:rsid w:val="00CE523D"/>
    <w:rsid w:val="00CE5901"/>
    <w:rsid w:val="00CE5943"/>
    <w:rsid w:val="00CE62FF"/>
    <w:rsid w:val="00CE64E7"/>
    <w:rsid w:val="00CE6548"/>
    <w:rsid w:val="00CE790C"/>
    <w:rsid w:val="00CE7AC6"/>
    <w:rsid w:val="00CF0154"/>
    <w:rsid w:val="00CF131F"/>
    <w:rsid w:val="00CF1406"/>
    <w:rsid w:val="00CF20E0"/>
    <w:rsid w:val="00CF220F"/>
    <w:rsid w:val="00CF2A40"/>
    <w:rsid w:val="00CF2BBD"/>
    <w:rsid w:val="00CF36E1"/>
    <w:rsid w:val="00CF3CC7"/>
    <w:rsid w:val="00CF3D58"/>
    <w:rsid w:val="00CF4904"/>
    <w:rsid w:val="00CF4D4A"/>
    <w:rsid w:val="00CF5544"/>
    <w:rsid w:val="00CF56A1"/>
    <w:rsid w:val="00CF60A9"/>
    <w:rsid w:val="00CF629E"/>
    <w:rsid w:val="00CF65E0"/>
    <w:rsid w:val="00CF7E45"/>
    <w:rsid w:val="00D0112A"/>
    <w:rsid w:val="00D01424"/>
    <w:rsid w:val="00D02265"/>
    <w:rsid w:val="00D028DF"/>
    <w:rsid w:val="00D02CA4"/>
    <w:rsid w:val="00D0447A"/>
    <w:rsid w:val="00D0464C"/>
    <w:rsid w:val="00D04BC1"/>
    <w:rsid w:val="00D05C29"/>
    <w:rsid w:val="00D06883"/>
    <w:rsid w:val="00D10A70"/>
    <w:rsid w:val="00D122B8"/>
    <w:rsid w:val="00D1296F"/>
    <w:rsid w:val="00D137F1"/>
    <w:rsid w:val="00D13CD4"/>
    <w:rsid w:val="00D142A2"/>
    <w:rsid w:val="00D143FD"/>
    <w:rsid w:val="00D15AF7"/>
    <w:rsid w:val="00D15B33"/>
    <w:rsid w:val="00D1644F"/>
    <w:rsid w:val="00D176EA"/>
    <w:rsid w:val="00D20338"/>
    <w:rsid w:val="00D20456"/>
    <w:rsid w:val="00D20ADC"/>
    <w:rsid w:val="00D218B7"/>
    <w:rsid w:val="00D21BCF"/>
    <w:rsid w:val="00D22487"/>
    <w:rsid w:val="00D22A42"/>
    <w:rsid w:val="00D22F51"/>
    <w:rsid w:val="00D22FB6"/>
    <w:rsid w:val="00D23BD0"/>
    <w:rsid w:val="00D23EEA"/>
    <w:rsid w:val="00D24988"/>
    <w:rsid w:val="00D267E8"/>
    <w:rsid w:val="00D2692D"/>
    <w:rsid w:val="00D270EB"/>
    <w:rsid w:val="00D273FB"/>
    <w:rsid w:val="00D27479"/>
    <w:rsid w:val="00D30A60"/>
    <w:rsid w:val="00D317B7"/>
    <w:rsid w:val="00D33AED"/>
    <w:rsid w:val="00D33F86"/>
    <w:rsid w:val="00D341D4"/>
    <w:rsid w:val="00D35A1B"/>
    <w:rsid w:val="00D37650"/>
    <w:rsid w:val="00D40019"/>
    <w:rsid w:val="00D40614"/>
    <w:rsid w:val="00D40847"/>
    <w:rsid w:val="00D40FF0"/>
    <w:rsid w:val="00D427DB"/>
    <w:rsid w:val="00D42D04"/>
    <w:rsid w:val="00D433EC"/>
    <w:rsid w:val="00D442FC"/>
    <w:rsid w:val="00D44A71"/>
    <w:rsid w:val="00D45F0D"/>
    <w:rsid w:val="00D477D8"/>
    <w:rsid w:val="00D47838"/>
    <w:rsid w:val="00D5059C"/>
    <w:rsid w:val="00D5093F"/>
    <w:rsid w:val="00D52250"/>
    <w:rsid w:val="00D52CFD"/>
    <w:rsid w:val="00D53044"/>
    <w:rsid w:val="00D535CF"/>
    <w:rsid w:val="00D54DA3"/>
    <w:rsid w:val="00D550C8"/>
    <w:rsid w:val="00D553B2"/>
    <w:rsid w:val="00D57229"/>
    <w:rsid w:val="00D5764E"/>
    <w:rsid w:val="00D57787"/>
    <w:rsid w:val="00D609CB"/>
    <w:rsid w:val="00D60A10"/>
    <w:rsid w:val="00D61AE6"/>
    <w:rsid w:val="00D61C6C"/>
    <w:rsid w:val="00D62CB4"/>
    <w:rsid w:val="00D63309"/>
    <w:rsid w:val="00D63649"/>
    <w:rsid w:val="00D651A5"/>
    <w:rsid w:val="00D65A8C"/>
    <w:rsid w:val="00D6611E"/>
    <w:rsid w:val="00D66495"/>
    <w:rsid w:val="00D66498"/>
    <w:rsid w:val="00D66A73"/>
    <w:rsid w:val="00D66E8E"/>
    <w:rsid w:val="00D710DB"/>
    <w:rsid w:val="00D71604"/>
    <w:rsid w:val="00D71940"/>
    <w:rsid w:val="00D73FEB"/>
    <w:rsid w:val="00D74BE7"/>
    <w:rsid w:val="00D7612C"/>
    <w:rsid w:val="00D7617E"/>
    <w:rsid w:val="00D762DB"/>
    <w:rsid w:val="00D763BA"/>
    <w:rsid w:val="00D77BC8"/>
    <w:rsid w:val="00D80189"/>
    <w:rsid w:val="00D805CE"/>
    <w:rsid w:val="00D8071B"/>
    <w:rsid w:val="00D81CAF"/>
    <w:rsid w:val="00D81ED7"/>
    <w:rsid w:val="00D82B68"/>
    <w:rsid w:val="00D84481"/>
    <w:rsid w:val="00D84D5F"/>
    <w:rsid w:val="00D86159"/>
    <w:rsid w:val="00D863C7"/>
    <w:rsid w:val="00D865E6"/>
    <w:rsid w:val="00D878D1"/>
    <w:rsid w:val="00D9061C"/>
    <w:rsid w:val="00D925D5"/>
    <w:rsid w:val="00D93C3F"/>
    <w:rsid w:val="00D94525"/>
    <w:rsid w:val="00D95016"/>
    <w:rsid w:val="00D953E1"/>
    <w:rsid w:val="00D954B4"/>
    <w:rsid w:val="00D95511"/>
    <w:rsid w:val="00D96FAD"/>
    <w:rsid w:val="00DA031D"/>
    <w:rsid w:val="00DA20D8"/>
    <w:rsid w:val="00DA2C22"/>
    <w:rsid w:val="00DA2CB6"/>
    <w:rsid w:val="00DA2E8C"/>
    <w:rsid w:val="00DA321F"/>
    <w:rsid w:val="00DA40AD"/>
    <w:rsid w:val="00DA42B7"/>
    <w:rsid w:val="00DA5211"/>
    <w:rsid w:val="00DA5A0F"/>
    <w:rsid w:val="00DA6060"/>
    <w:rsid w:val="00DA703B"/>
    <w:rsid w:val="00DA7EA1"/>
    <w:rsid w:val="00DA7FBF"/>
    <w:rsid w:val="00DB075F"/>
    <w:rsid w:val="00DB0D83"/>
    <w:rsid w:val="00DB12E7"/>
    <w:rsid w:val="00DB1589"/>
    <w:rsid w:val="00DB1FF3"/>
    <w:rsid w:val="00DB26A7"/>
    <w:rsid w:val="00DB2770"/>
    <w:rsid w:val="00DB3357"/>
    <w:rsid w:val="00DB3D78"/>
    <w:rsid w:val="00DB3E8A"/>
    <w:rsid w:val="00DB4856"/>
    <w:rsid w:val="00DB4ACF"/>
    <w:rsid w:val="00DB7DC1"/>
    <w:rsid w:val="00DC06D2"/>
    <w:rsid w:val="00DC1CF2"/>
    <w:rsid w:val="00DC20D3"/>
    <w:rsid w:val="00DC256E"/>
    <w:rsid w:val="00DC2A3F"/>
    <w:rsid w:val="00DC2DE4"/>
    <w:rsid w:val="00DC3A2C"/>
    <w:rsid w:val="00DC40C0"/>
    <w:rsid w:val="00DC41E6"/>
    <w:rsid w:val="00DC5E3A"/>
    <w:rsid w:val="00DC68F4"/>
    <w:rsid w:val="00DC6BBA"/>
    <w:rsid w:val="00DC7260"/>
    <w:rsid w:val="00DC7E20"/>
    <w:rsid w:val="00DD0105"/>
    <w:rsid w:val="00DD02D8"/>
    <w:rsid w:val="00DD02FF"/>
    <w:rsid w:val="00DD1EFC"/>
    <w:rsid w:val="00DD5CB8"/>
    <w:rsid w:val="00DD5EB2"/>
    <w:rsid w:val="00DD733B"/>
    <w:rsid w:val="00DD7C82"/>
    <w:rsid w:val="00DE0670"/>
    <w:rsid w:val="00DE0BFC"/>
    <w:rsid w:val="00DE12E1"/>
    <w:rsid w:val="00DE1832"/>
    <w:rsid w:val="00DE292B"/>
    <w:rsid w:val="00DE36F7"/>
    <w:rsid w:val="00DE4468"/>
    <w:rsid w:val="00DE44A8"/>
    <w:rsid w:val="00DE477C"/>
    <w:rsid w:val="00DE49AE"/>
    <w:rsid w:val="00DE65B5"/>
    <w:rsid w:val="00DE6DF8"/>
    <w:rsid w:val="00DE7556"/>
    <w:rsid w:val="00DF1386"/>
    <w:rsid w:val="00DF2C37"/>
    <w:rsid w:val="00DF2C45"/>
    <w:rsid w:val="00DF305F"/>
    <w:rsid w:val="00DF3885"/>
    <w:rsid w:val="00DF542C"/>
    <w:rsid w:val="00DF5737"/>
    <w:rsid w:val="00DF5926"/>
    <w:rsid w:val="00DF66A9"/>
    <w:rsid w:val="00DF783A"/>
    <w:rsid w:val="00DF7B2E"/>
    <w:rsid w:val="00E011A2"/>
    <w:rsid w:val="00E01826"/>
    <w:rsid w:val="00E01888"/>
    <w:rsid w:val="00E02833"/>
    <w:rsid w:val="00E02BAF"/>
    <w:rsid w:val="00E033BE"/>
    <w:rsid w:val="00E03C5E"/>
    <w:rsid w:val="00E03D9B"/>
    <w:rsid w:val="00E04BDB"/>
    <w:rsid w:val="00E05749"/>
    <w:rsid w:val="00E0592C"/>
    <w:rsid w:val="00E05942"/>
    <w:rsid w:val="00E0619A"/>
    <w:rsid w:val="00E1035E"/>
    <w:rsid w:val="00E10B04"/>
    <w:rsid w:val="00E10DB4"/>
    <w:rsid w:val="00E11619"/>
    <w:rsid w:val="00E11795"/>
    <w:rsid w:val="00E1245C"/>
    <w:rsid w:val="00E12B7B"/>
    <w:rsid w:val="00E12CF4"/>
    <w:rsid w:val="00E13F5F"/>
    <w:rsid w:val="00E146F5"/>
    <w:rsid w:val="00E14CD1"/>
    <w:rsid w:val="00E154EA"/>
    <w:rsid w:val="00E16FE7"/>
    <w:rsid w:val="00E1710A"/>
    <w:rsid w:val="00E17F4C"/>
    <w:rsid w:val="00E203D3"/>
    <w:rsid w:val="00E20B3C"/>
    <w:rsid w:val="00E2116D"/>
    <w:rsid w:val="00E2127F"/>
    <w:rsid w:val="00E21A7E"/>
    <w:rsid w:val="00E22EB6"/>
    <w:rsid w:val="00E2517A"/>
    <w:rsid w:val="00E251B1"/>
    <w:rsid w:val="00E25679"/>
    <w:rsid w:val="00E25866"/>
    <w:rsid w:val="00E2626C"/>
    <w:rsid w:val="00E2701C"/>
    <w:rsid w:val="00E27A20"/>
    <w:rsid w:val="00E27F63"/>
    <w:rsid w:val="00E30522"/>
    <w:rsid w:val="00E3128F"/>
    <w:rsid w:val="00E31682"/>
    <w:rsid w:val="00E31FDE"/>
    <w:rsid w:val="00E328EB"/>
    <w:rsid w:val="00E33C8A"/>
    <w:rsid w:val="00E342D1"/>
    <w:rsid w:val="00E35F87"/>
    <w:rsid w:val="00E36846"/>
    <w:rsid w:val="00E37022"/>
    <w:rsid w:val="00E3711F"/>
    <w:rsid w:val="00E37245"/>
    <w:rsid w:val="00E40069"/>
    <w:rsid w:val="00E40866"/>
    <w:rsid w:val="00E41894"/>
    <w:rsid w:val="00E4224C"/>
    <w:rsid w:val="00E42D28"/>
    <w:rsid w:val="00E43033"/>
    <w:rsid w:val="00E4367F"/>
    <w:rsid w:val="00E43E8F"/>
    <w:rsid w:val="00E450C4"/>
    <w:rsid w:val="00E459E0"/>
    <w:rsid w:val="00E46928"/>
    <w:rsid w:val="00E475D8"/>
    <w:rsid w:val="00E503C6"/>
    <w:rsid w:val="00E508E5"/>
    <w:rsid w:val="00E50BC5"/>
    <w:rsid w:val="00E50D24"/>
    <w:rsid w:val="00E50EEE"/>
    <w:rsid w:val="00E51288"/>
    <w:rsid w:val="00E516CA"/>
    <w:rsid w:val="00E52FF4"/>
    <w:rsid w:val="00E5302B"/>
    <w:rsid w:val="00E542AF"/>
    <w:rsid w:val="00E549C7"/>
    <w:rsid w:val="00E556B0"/>
    <w:rsid w:val="00E55A51"/>
    <w:rsid w:val="00E56A1A"/>
    <w:rsid w:val="00E56D67"/>
    <w:rsid w:val="00E60125"/>
    <w:rsid w:val="00E60670"/>
    <w:rsid w:val="00E60931"/>
    <w:rsid w:val="00E60BC7"/>
    <w:rsid w:val="00E61151"/>
    <w:rsid w:val="00E61D03"/>
    <w:rsid w:val="00E62A2C"/>
    <w:rsid w:val="00E62BB6"/>
    <w:rsid w:val="00E64DF0"/>
    <w:rsid w:val="00E65E3B"/>
    <w:rsid w:val="00E66C24"/>
    <w:rsid w:val="00E6728E"/>
    <w:rsid w:val="00E6738C"/>
    <w:rsid w:val="00E674A1"/>
    <w:rsid w:val="00E70DD6"/>
    <w:rsid w:val="00E718E9"/>
    <w:rsid w:val="00E72343"/>
    <w:rsid w:val="00E726B1"/>
    <w:rsid w:val="00E73CCF"/>
    <w:rsid w:val="00E746F7"/>
    <w:rsid w:val="00E748FA"/>
    <w:rsid w:val="00E74A03"/>
    <w:rsid w:val="00E74F1B"/>
    <w:rsid w:val="00E75A45"/>
    <w:rsid w:val="00E75A99"/>
    <w:rsid w:val="00E75C8E"/>
    <w:rsid w:val="00E76007"/>
    <w:rsid w:val="00E76515"/>
    <w:rsid w:val="00E774F5"/>
    <w:rsid w:val="00E777BE"/>
    <w:rsid w:val="00E77D4B"/>
    <w:rsid w:val="00E8296E"/>
    <w:rsid w:val="00E82A0B"/>
    <w:rsid w:val="00E82A19"/>
    <w:rsid w:val="00E82F05"/>
    <w:rsid w:val="00E83B34"/>
    <w:rsid w:val="00E84E91"/>
    <w:rsid w:val="00E85067"/>
    <w:rsid w:val="00E8749C"/>
    <w:rsid w:val="00E87625"/>
    <w:rsid w:val="00E8766E"/>
    <w:rsid w:val="00E87DAF"/>
    <w:rsid w:val="00E91350"/>
    <w:rsid w:val="00E914E2"/>
    <w:rsid w:val="00E91B4C"/>
    <w:rsid w:val="00E91F81"/>
    <w:rsid w:val="00E923A2"/>
    <w:rsid w:val="00E943C3"/>
    <w:rsid w:val="00E94868"/>
    <w:rsid w:val="00E94EDF"/>
    <w:rsid w:val="00E96533"/>
    <w:rsid w:val="00E9762A"/>
    <w:rsid w:val="00EA1DD4"/>
    <w:rsid w:val="00EA2CF9"/>
    <w:rsid w:val="00EA3188"/>
    <w:rsid w:val="00EA31A9"/>
    <w:rsid w:val="00EA4583"/>
    <w:rsid w:val="00EA45B6"/>
    <w:rsid w:val="00EA4D76"/>
    <w:rsid w:val="00EA626B"/>
    <w:rsid w:val="00EA7198"/>
    <w:rsid w:val="00EA73E0"/>
    <w:rsid w:val="00EA7F59"/>
    <w:rsid w:val="00EB01A9"/>
    <w:rsid w:val="00EB0F62"/>
    <w:rsid w:val="00EB10C1"/>
    <w:rsid w:val="00EB2227"/>
    <w:rsid w:val="00EB2642"/>
    <w:rsid w:val="00EB2710"/>
    <w:rsid w:val="00EB2967"/>
    <w:rsid w:val="00EB450A"/>
    <w:rsid w:val="00EB4A8D"/>
    <w:rsid w:val="00EB4F29"/>
    <w:rsid w:val="00EB5077"/>
    <w:rsid w:val="00EB5391"/>
    <w:rsid w:val="00EB5659"/>
    <w:rsid w:val="00EB61AD"/>
    <w:rsid w:val="00EB6AE4"/>
    <w:rsid w:val="00EB72F6"/>
    <w:rsid w:val="00EB7ACA"/>
    <w:rsid w:val="00EC06F0"/>
    <w:rsid w:val="00EC143B"/>
    <w:rsid w:val="00EC17AB"/>
    <w:rsid w:val="00EC1DAC"/>
    <w:rsid w:val="00EC1E77"/>
    <w:rsid w:val="00EC2E26"/>
    <w:rsid w:val="00EC316E"/>
    <w:rsid w:val="00EC5044"/>
    <w:rsid w:val="00EC57FB"/>
    <w:rsid w:val="00EC5DEA"/>
    <w:rsid w:val="00EC6095"/>
    <w:rsid w:val="00EC6E58"/>
    <w:rsid w:val="00EC73DF"/>
    <w:rsid w:val="00EC7688"/>
    <w:rsid w:val="00ED121F"/>
    <w:rsid w:val="00ED1451"/>
    <w:rsid w:val="00ED1BED"/>
    <w:rsid w:val="00ED2337"/>
    <w:rsid w:val="00ED2635"/>
    <w:rsid w:val="00ED2BE9"/>
    <w:rsid w:val="00ED2E93"/>
    <w:rsid w:val="00ED3734"/>
    <w:rsid w:val="00ED3CEC"/>
    <w:rsid w:val="00ED6044"/>
    <w:rsid w:val="00ED7B73"/>
    <w:rsid w:val="00ED7CBB"/>
    <w:rsid w:val="00EE02F3"/>
    <w:rsid w:val="00EE175F"/>
    <w:rsid w:val="00EE206A"/>
    <w:rsid w:val="00EE30DF"/>
    <w:rsid w:val="00EE3129"/>
    <w:rsid w:val="00EE3230"/>
    <w:rsid w:val="00EE454F"/>
    <w:rsid w:val="00EE45E5"/>
    <w:rsid w:val="00EE554D"/>
    <w:rsid w:val="00EE5D23"/>
    <w:rsid w:val="00EE60FA"/>
    <w:rsid w:val="00EE70E0"/>
    <w:rsid w:val="00EE7162"/>
    <w:rsid w:val="00EE773F"/>
    <w:rsid w:val="00EF0A8F"/>
    <w:rsid w:val="00EF0C35"/>
    <w:rsid w:val="00EF0F64"/>
    <w:rsid w:val="00EF241F"/>
    <w:rsid w:val="00EF2DC4"/>
    <w:rsid w:val="00EF4B51"/>
    <w:rsid w:val="00EF5894"/>
    <w:rsid w:val="00EF6B14"/>
    <w:rsid w:val="00EF6B77"/>
    <w:rsid w:val="00EF7B92"/>
    <w:rsid w:val="00EF7C1B"/>
    <w:rsid w:val="00F00E6D"/>
    <w:rsid w:val="00F012F7"/>
    <w:rsid w:val="00F02734"/>
    <w:rsid w:val="00F02F14"/>
    <w:rsid w:val="00F04A0B"/>
    <w:rsid w:val="00F04BBF"/>
    <w:rsid w:val="00F05357"/>
    <w:rsid w:val="00F06BC5"/>
    <w:rsid w:val="00F07E56"/>
    <w:rsid w:val="00F10A0E"/>
    <w:rsid w:val="00F11615"/>
    <w:rsid w:val="00F12461"/>
    <w:rsid w:val="00F12576"/>
    <w:rsid w:val="00F143A0"/>
    <w:rsid w:val="00F15AD2"/>
    <w:rsid w:val="00F15E3E"/>
    <w:rsid w:val="00F15EAB"/>
    <w:rsid w:val="00F1641A"/>
    <w:rsid w:val="00F17C9A"/>
    <w:rsid w:val="00F2027F"/>
    <w:rsid w:val="00F204A8"/>
    <w:rsid w:val="00F207D9"/>
    <w:rsid w:val="00F20B8E"/>
    <w:rsid w:val="00F22875"/>
    <w:rsid w:val="00F22F90"/>
    <w:rsid w:val="00F237A2"/>
    <w:rsid w:val="00F23DAE"/>
    <w:rsid w:val="00F265D5"/>
    <w:rsid w:val="00F26837"/>
    <w:rsid w:val="00F31772"/>
    <w:rsid w:val="00F31B2E"/>
    <w:rsid w:val="00F31CAF"/>
    <w:rsid w:val="00F32DC1"/>
    <w:rsid w:val="00F32E08"/>
    <w:rsid w:val="00F33A12"/>
    <w:rsid w:val="00F33A4D"/>
    <w:rsid w:val="00F33C81"/>
    <w:rsid w:val="00F33F44"/>
    <w:rsid w:val="00F341D4"/>
    <w:rsid w:val="00F3492C"/>
    <w:rsid w:val="00F34D8B"/>
    <w:rsid w:val="00F34DA6"/>
    <w:rsid w:val="00F351E9"/>
    <w:rsid w:val="00F36B33"/>
    <w:rsid w:val="00F40C16"/>
    <w:rsid w:val="00F4193A"/>
    <w:rsid w:val="00F42044"/>
    <w:rsid w:val="00F432F4"/>
    <w:rsid w:val="00F43611"/>
    <w:rsid w:val="00F43DBB"/>
    <w:rsid w:val="00F44D15"/>
    <w:rsid w:val="00F45409"/>
    <w:rsid w:val="00F45E6A"/>
    <w:rsid w:val="00F4745F"/>
    <w:rsid w:val="00F47663"/>
    <w:rsid w:val="00F50D79"/>
    <w:rsid w:val="00F53539"/>
    <w:rsid w:val="00F5616E"/>
    <w:rsid w:val="00F566C9"/>
    <w:rsid w:val="00F569AE"/>
    <w:rsid w:val="00F56D32"/>
    <w:rsid w:val="00F57384"/>
    <w:rsid w:val="00F60B8C"/>
    <w:rsid w:val="00F60BA1"/>
    <w:rsid w:val="00F6177D"/>
    <w:rsid w:val="00F62D23"/>
    <w:rsid w:val="00F62D90"/>
    <w:rsid w:val="00F644BF"/>
    <w:rsid w:val="00F64D8E"/>
    <w:rsid w:val="00F65DFD"/>
    <w:rsid w:val="00F708D6"/>
    <w:rsid w:val="00F715B0"/>
    <w:rsid w:val="00F7274D"/>
    <w:rsid w:val="00F72F1A"/>
    <w:rsid w:val="00F7415F"/>
    <w:rsid w:val="00F74285"/>
    <w:rsid w:val="00F75DCD"/>
    <w:rsid w:val="00F76045"/>
    <w:rsid w:val="00F77283"/>
    <w:rsid w:val="00F77F5E"/>
    <w:rsid w:val="00F80454"/>
    <w:rsid w:val="00F822E4"/>
    <w:rsid w:val="00F824B9"/>
    <w:rsid w:val="00F842AE"/>
    <w:rsid w:val="00F84394"/>
    <w:rsid w:val="00F84FD9"/>
    <w:rsid w:val="00F850EE"/>
    <w:rsid w:val="00F8556D"/>
    <w:rsid w:val="00F85A4D"/>
    <w:rsid w:val="00F87406"/>
    <w:rsid w:val="00F8788E"/>
    <w:rsid w:val="00F90BA2"/>
    <w:rsid w:val="00F9196C"/>
    <w:rsid w:val="00F92444"/>
    <w:rsid w:val="00F9304F"/>
    <w:rsid w:val="00F9314C"/>
    <w:rsid w:val="00F93EB4"/>
    <w:rsid w:val="00F94579"/>
    <w:rsid w:val="00F948C1"/>
    <w:rsid w:val="00F94939"/>
    <w:rsid w:val="00F94E26"/>
    <w:rsid w:val="00F9550B"/>
    <w:rsid w:val="00FA02F4"/>
    <w:rsid w:val="00FA081C"/>
    <w:rsid w:val="00FA150D"/>
    <w:rsid w:val="00FA1712"/>
    <w:rsid w:val="00FA182D"/>
    <w:rsid w:val="00FA1EA4"/>
    <w:rsid w:val="00FA30D2"/>
    <w:rsid w:val="00FA35A6"/>
    <w:rsid w:val="00FA4517"/>
    <w:rsid w:val="00FA5136"/>
    <w:rsid w:val="00FA5805"/>
    <w:rsid w:val="00FA60A3"/>
    <w:rsid w:val="00FA6182"/>
    <w:rsid w:val="00FA6514"/>
    <w:rsid w:val="00FA6D05"/>
    <w:rsid w:val="00FA6D75"/>
    <w:rsid w:val="00FA72FE"/>
    <w:rsid w:val="00FA7FF3"/>
    <w:rsid w:val="00FB0712"/>
    <w:rsid w:val="00FB08E6"/>
    <w:rsid w:val="00FB09F7"/>
    <w:rsid w:val="00FB19E8"/>
    <w:rsid w:val="00FB2211"/>
    <w:rsid w:val="00FB2219"/>
    <w:rsid w:val="00FB2C36"/>
    <w:rsid w:val="00FB3808"/>
    <w:rsid w:val="00FB3E34"/>
    <w:rsid w:val="00FB565D"/>
    <w:rsid w:val="00FB5F5E"/>
    <w:rsid w:val="00FB608D"/>
    <w:rsid w:val="00FB6AF0"/>
    <w:rsid w:val="00FB6CD0"/>
    <w:rsid w:val="00FC0159"/>
    <w:rsid w:val="00FC045A"/>
    <w:rsid w:val="00FC14A6"/>
    <w:rsid w:val="00FC472B"/>
    <w:rsid w:val="00FC47D5"/>
    <w:rsid w:val="00FC4ACB"/>
    <w:rsid w:val="00FC4C60"/>
    <w:rsid w:val="00FC5C94"/>
    <w:rsid w:val="00FC6B17"/>
    <w:rsid w:val="00FC6CF3"/>
    <w:rsid w:val="00FD0263"/>
    <w:rsid w:val="00FD09EE"/>
    <w:rsid w:val="00FD2AA7"/>
    <w:rsid w:val="00FD45DC"/>
    <w:rsid w:val="00FD46EE"/>
    <w:rsid w:val="00FD4CED"/>
    <w:rsid w:val="00FD514D"/>
    <w:rsid w:val="00FD56DB"/>
    <w:rsid w:val="00FD5747"/>
    <w:rsid w:val="00FD6560"/>
    <w:rsid w:val="00FD69F3"/>
    <w:rsid w:val="00FE02D1"/>
    <w:rsid w:val="00FE0C38"/>
    <w:rsid w:val="00FE1C95"/>
    <w:rsid w:val="00FE5429"/>
    <w:rsid w:val="00FE61C0"/>
    <w:rsid w:val="00FE64DD"/>
    <w:rsid w:val="00FE65DD"/>
    <w:rsid w:val="00FF11FA"/>
    <w:rsid w:val="00FF1205"/>
    <w:rsid w:val="00FF1C71"/>
    <w:rsid w:val="00FF1F23"/>
    <w:rsid w:val="00FF1FF5"/>
    <w:rsid w:val="00FF4313"/>
    <w:rsid w:val="00FF5604"/>
    <w:rsid w:val="00FF5BCA"/>
    <w:rsid w:val="00FF5D6C"/>
    <w:rsid w:val="00FF638E"/>
    <w:rsid w:val="00FF6A91"/>
    <w:rsid w:val="00FF7D86"/>
    <w:rsid w:val="00FF7E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CE3C5"/>
  <w15:docId w15:val="{A75F48CA-C1ED-4D80-A3FE-C395524C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Ttulo">
    <w:name w:val="Title"/>
    <w:basedOn w:val="Normal"/>
    <w:link w:val="Ttul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320F7B"/>
    <w:rPr>
      <w:rFonts w:ascii="Arial" w:eastAsia="Times New Roman" w:hAnsi="Arial" w:cs="Arial"/>
      <w:b/>
      <w:bCs/>
      <w:kern w:val="28"/>
      <w:sz w:val="32"/>
      <w:szCs w:val="32"/>
      <w:lang w:val="es-ES" w:eastAsia="es-ES"/>
    </w:rPr>
  </w:style>
  <w:style w:type="paragraph" w:customStyle="1" w:styleId="Texto">
    <w:name w:val="Texto"/>
    <w:aliases w:val="independiente,independiente Car Car Car"/>
    <w:basedOn w:val="Normal"/>
    <w:link w:val="TextoCar"/>
    <w:qFormat/>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qFormat/>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character" w:styleId="Refdenotaalpie">
    <w:name w:val="footnote reference"/>
    <w:rsid w:val="001B75C2"/>
    <w:rPr>
      <w:vertAlign w:val="superscript"/>
    </w:rPr>
  </w:style>
  <w:style w:type="paragraph" w:styleId="Textonotapie">
    <w:name w:val="footnote text"/>
    <w:basedOn w:val="Normal"/>
    <w:link w:val="TextonotapieCar"/>
    <w:rsid w:val="001B75C2"/>
    <w:rPr>
      <w:rFonts w:ascii="Times New Roman" w:eastAsia="Times New Roman" w:hAnsi="Times New Roman"/>
      <w:sz w:val="20"/>
      <w:szCs w:val="20"/>
      <w:lang w:val="es-ES_tradnl"/>
    </w:rPr>
  </w:style>
  <w:style w:type="character" w:customStyle="1" w:styleId="TextonotapieCar">
    <w:name w:val="Texto nota pie Car"/>
    <w:basedOn w:val="Fuentedeprrafopredeter"/>
    <w:link w:val="Textonotapie"/>
    <w:rsid w:val="001B75C2"/>
    <w:rPr>
      <w:rFonts w:ascii="Times New Roman" w:eastAsia="Times New Roman" w:hAnsi="Times New Roman"/>
      <w:lang w:val="es-ES_tradnl"/>
    </w:rPr>
  </w:style>
  <w:style w:type="paragraph" w:customStyle="1" w:styleId="Default">
    <w:name w:val="Default"/>
    <w:rsid w:val="001B75C2"/>
    <w:rPr>
      <w:rFonts w:ascii="Arial" w:eastAsia="Times New Roman" w:hAnsi="Arial" w:cs="Arial"/>
      <w:color w:val="000000"/>
      <w:sz w:val="24"/>
    </w:rPr>
  </w:style>
  <w:style w:type="character" w:customStyle="1" w:styleId="apple-converted-space">
    <w:name w:val="apple-converted-space"/>
    <w:basedOn w:val="Fuentedeprrafopredeter"/>
    <w:rsid w:val="00E56D67"/>
  </w:style>
  <w:style w:type="paragraph" w:customStyle="1" w:styleId="EstilotextoPrimeralnea0">
    <w:name w:val="Estilo texto + Primera línea:  0&quot;"/>
    <w:basedOn w:val="Normal"/>
    <w:rsid w:val="000E2AA4"/>
    <w:pPr>
      <w:spacing w:after="101" w:line="216" w:lineRule="exact"/>
      <w:jc w:val="both"/>
    </w:pPr>
    <w:rPr>
      <w:rFonts w:ascii="Arial" w:eastAsia="Times New Roman" w:hAnsi="Arial"/>
      <w:sz w:val="18"/>
      <w:szCs w:val="20"/>
      <w:lang w:eastAsia="es-MX"/>
    </w:rPr>
  </w:style>
  <w:style w:type="paragraph" w:styleId="NormalWeb">
    <w:name w:val="Normal (Web)"/>
    <w:basedOn w:val="Normal"/>
    <w:uiPriority w:val="99"/>
    <w:semiHidden/>
    <w:unhideWhenUsed/>
    <w:rsid w:val="00566FD5"/>
    <w:pPr>
      <w:spacing w:before="100" w:beforeAutospacing="1" w:after="100" w:afterAutospacing="1"/>
    </w:pPr>
    <w:rPr>
      <w:rFonts w:ascii="Times New Roman" w:eastAsia="Times New Roman" w:hAnsi="Times New Roman"/>
      <w:lang w:eastAsia="es-MX"/>
    </w:rPr>
  </w:style>
  <w:style w:type="character" w:customStyle="1" w:styleId="UnresolvedMention">
    <w:name w:val="Unresolved Mention"/>
    <w:basedOn w:val="Fuentedeprrafopredeter"/>
    <w:uiPriority w:val="99"/>
    <w:semiHidden/>
    <w:unhideWhenUsed/>
    <w:rsid w:val="00506A9B"/>
    <w:rPr>
      <w:color w:val="605E5C"/>
      <w:shd w:val="clear" w:color="auto" w:fill="E1DFDD"/>
    </w:rPr>
  </w:style>
  <w:style w:type="character" w:styleId="nfasis">
    <w:name w:val="Emphasis"/>
    <w:basedOn w:val="Fuentedeprrafopredeter"/>
    <w:uiPriority w:val="20"/>
    <w:qFormat/>
    <w:rsid w:val="00B74371"/>
    <w:rPr>
      <w:i/>
      <w:iCs/>
    </w:rPr>
  </w:style>
  <w:style w:type="character" w:customStyle="1" w:styleId="liststyle474832373level1">
    <w:name w:val="liststyle_474832373_level_1"/>
    <w:basedOn w:val="Fuentedeprrafopredeter"/>
    <w:rsid w:val="00AD6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6549">
      <w:bodyDiv w:val="1"/>
      <w:marLeft w:val="0"/>
      <w:marRight w:val="0"/>
      <w:marTop w:val="0"/>
      <w:marBottom w:val="0"/>
      <w:divBdr>
        <w:top w:val="none" w:sz="0" w:space="0" w:color="auto"/>
        <w:left w:val="none" w:sz="0" w:space="0" w:color="auto"/>
        <w:bottom w:val="none" w:sz="0" w:space="0" w:color="auto"/>
        <w:right w:val="none" w:sz="0" w:space="0" w:color="auto"/>
      </w:divBdr>
      <w:divsChild>
        <w:div w:id="1089348437">
          <w:marLeft w:val="0"/>
          <w:marRight w:val="0"/>
          <w:marTop w:val="0"/>
          <w:marBottom w:val="101"/>
          <w:divBdr>
            <w:top w:val="none" w:sz="0" w:space="0" w:color="auto"/>
            <w:left w:val="none" w:sz="0" w:space="0" w:color="auto"/>
            <w:bottom w:val="none" w:sz="0" w:space="0" w:color="auto"/>
            <w:right w:val="none" w:sz="0" w:space="0" w:color="auto"/>
          </w:divBdr>
        </w:div>
      </w:divsChild>
    </w:div>
    <w:div w:id="25645431">
      <w:bodyDiv w:val="1"/>
      <w:marLeft w:val="0"/>
      <w:marRight w:val="0"/>
      <w:marTop w:val="0"/>
      <w:marBottom w:val="0"/>
      <w:divBdr>
        <w:top w:val="none" w:sz="0" w:space="0" w:color="auto"/>
        <w:left w:val="none" w:sz="0" w:space="0" w:color="auto"/>
        <w:bottom w:val="none" w:sz="0" w:space="0" w:color="auto"/>
        <w:right w:val="none" w:sz="0" w:space="0" w:color="auto"/>
      </w:divBdr>
    </w:div>
    <w:div w:id="47731593">
      <w:bodyDiv w:val="1"/>
      <w:marLeft w:val="0"/>
      <w:marRight w:val="0"/>
      <w:marTop w:val="0"/>
      <w:marBottom w:val="0"/>
      <w:divBdr>
        <w:top w:val="none" w:sz="0" w:space="0" w:color="auto"/>
        <w:left w:val="none" w:sz="0" w:space="0" w:color="auto"/>
        <w:bottom w:val="none" w:sz="0" w:space="0" w:color="auto"/>
        <w:right w:val="none" w:sz="0" w:space="0" w:color="auto"/>
      </w:divBdr>
    </w:div>
    <w:div w:id="52243265">
      <w:bodyDiv w:val="1"/>
      <w:marLeft w:val="0"/>
      <w:marRight w:val="0"/>
      <w:marTop w:val="0"/>
      <w:marBottom w:val="0"/>
      <w:divBdr>
        <w:top w:val="none" w:sz="0" w:space="0" w:color="auto"/>
        <w:left w:val="none" w:sz="0" w:space="0" w:color="auto"/>
        <w:bottom w:val="none" w:sz="0" w:space="0" w:color="auto"/>
        <w:right w:val="none" w:sz="0" w:space="0" w:color="auto"/>
      </w:divBdr>
      <w:divsChild>
        <w:div w:id="457576763">
          <w:marLeft w:val="0"/>
          <w:marRight w:val="0"/>
          <w:marTop w:val="0"/>
          <w:marBottom w:val="101"/>
          <w:divBdr>
            <w:top w:val="none" w:sz="0" w:space="0" w:color="auto"/>
            <w:left w:val="none" w:sz="0" w:space="0" w:color="auto"/>
            <w:bottom w:val="none" w:sz="0" w:space="0" w:color="auto"/>
            <w:right w:val="none" w:sz="0" w:space="0" w:color="auto"/>
          </w:divBdr>
        </w:div>
        <w:div w:id="605621874">
          <w:marLeft w:val="0"/>
          <w:marRight w:val="0"/>
          <w:marTop w:val="0"/>
          <w:marBottom w:val="101"/>
          <w:divBdr>
            <w:top w:val="none" w:sz="0" w:space="0" w:color="auto"/>
            <w:left w:val="none" w:sz="0" w:space="0" w:color="auto"/>
            <w:bottom w:val="none" w:sz="0" w:space="0" w:color="auto"/>
            <w:right w:val="none" w:sz="0" w:space="0" w:color="auto"/>
          </w:divBdr>
        </w:div>
        <w:div w:id="1026833866">
          <w:marLeft w:val="0"/>
          <w:marRight w:val="0"/>
          <w:marTop w:val="0"/>
          <w:marBottom w:val="101"/>
          <w:divBdr>
            <w:top w:val="none" w:sz="0" w:space="0" w:color="auto"/>
            <w:left w:val="none" w:sz="0" w:space="0" w:color="auto"/>
            <w:bottom w:val="none" w:sz="0" w:space="0" w:color="auto"/>
            <w:right w:val="none" w:sz="0" w:space="0" w:color="auto"/>
          </w:divBdr>
        </w:div>
        <w:div w:id="2041860039">
          <w:marLeft w:val="0"/>
          <w:marRight w:val="0"/>
          <w:marTop w:val="0"/>
          <w:marBottom w:val="101"/>
          <w:divBdr>
            <w:top w:val="none" w:sz="0" w:space="0" w:color="auto"/>
            <w:left w:val="none" w:sz="0" w:space="0" w:color="auto"/>
            <w:bottom w:val="none" w:sz="0" w:space="0" w:color="auto"/>
            <w:right w:val="none" w:sz="0" w:space="0" w:color="auto"/>
          </w:divBdr>
        </w:div>
        <w:div w:id="884677137">
          <w:marLeft w:val="0"/>
          <w:marRight w:val="0"/>
          <w:marTop w:val="0"/>
          <w:marBottom w:val="101"/>
          <w:divBdr>
            <w:top w:val="none" w:sz="0" w:space="0" w:color="auto"/>
            <w:left w:val="none" w:sz="0" w:space="0" w:color="auto"/>
            <w:bottom w:val="none" w:sz="0" w:space="0" w:color="auto"/>
            <w:right w:val="none" w:sz="0" w:space="0" w:color="auto"/>
          </w:divBdr>
        </w:div>
        <w:div w:id="149447411">
          <w:marLeft w:val="0"/>
          <w:marRight w:val="0"/>
          <w:marTop w:val="0"/>
          <w:marBottom w:val="101"/>
          <w:divBdr>
            <w:top w:val="none" w:sz="0" w:space="0" w:color="auto"/>
            <w:left w:val="none" w:sz="0" w:space="0" w:color="auto"/>
            <w:bottom w:val="none" w:sz="0" w:space="0" w:color="auto"/>
            <w:right w:val="none" w:sz="0" w:space="0" w:color="auto"/>
          </w:divBdr>
        </w:div>
        <w:div w:id="445000944">
          <w:marLeft w:val="0"/>
          <w:marRight w:val="0"/>
          <w:marTop w:val="0"/>
          <w:marBottom w:val="101"/>
          <w:divBdr>
            <w:top w:val="none" w:sz="0" w:space="0" w:color="auto"/>
            <w:left w:val="none" w:sz="0" w:space="0" w:color="auto"/>
            <w:bottom w:val="none" w:sz="0" w:space="0" w:color="auto"/>
            <w:right w:val="none" w:sz="0" w:space="0" w:color="auto"/>
          </w:divBdr>
        </w:div>
        <w:div w:id="211773873">
          <w:marLeft w:val="0"/>
          <w:marRight w:val="0"/>
          <w:marTop w:val="0"/>
          <w:marBottom w:val="101"/>
          <w:divBdr>
            <w:top w:val="none" w:sz="0" w:space="0" w:color="auto"/>
            <w:left w:val="none" w:sz="0" w:space="0" w:color="auto"/>
            <w:bottom w:val="none" w:sz="0" w:space="0" w:color="auto"/>
            <w:right w:val="none" w:sz="0" w:space="0" w:color="auto"/>
          </w:divBdr>
        </w:div>
        <w:div w:id="1444501468">
          <w:marLeft w:val="0"/>
          <w:marRight w:val="0"/>
          <w:marTop w:val="0"/>
          <w:marBottom w:val="101"/>
          <w:divBdr>
            <w:top w:val="none" w:sz="0" w:space="0" w:color="auto"/>
            <w:left w:val="none" w:sz="0" w:space="0" w:color="auto"/>
            <w:bottom w:val="none" w:sz="0" w:space="0" w:color="auto"/>
            <w:right w:val="none" w:sz="0" w:space="0" w:color="auto"/>
          </w:divBdr>
        </w:div>
        <w:div w:id="1179005414">
          <w:marLeft w:val="0"/>
          <w:marRight w:val="0"/>
          <w:marTop w:val="0"/>
          <w:marBottom w:val="101"/>
          <w:divBdr>
            <w:top w:val="none" w:sz="0" w:space="0" w:color="auto"/>
            <w:left w:val="none" w:sz="0" w:space="0" w:color="auto"/>
            <w:bottom w:val="none" w:sz="0" w:space="0" w:color="auto"/>
            <w:right w:val="none" w:sz="0" w:space="0" w:color="auto"/>
          </w:divBdr>
        </w:div>
        <w:div w:id="1840466885">
          <w:marLeft w:val="0"/>
          <w:marRight w:val="0"/>
          <w:marTop w:val="0"/>
          <w:marBottom w:val="101"/>
          <w:divBdr>
            <w:top w:val="none" w:sz="0" w:space="0" w:color="auto"/>
            <w:left w:val="none" w:sz="0" w:space="0" w:color="auto"/>
            <w:bottom w:val="none" w:sz="0" w:space="0" w:color="auto"/>
            <w:right w:val="none" w:sz="0" w:space="0" w:color="auto"/>
          </w:divBdr>
        </w:div>
        <w:div w:id="1608193280">
          <w:marLeft w:val="0"/>
          <w:marRight w:val="0"/>
          <w:marTop w:val="0"/>
          <w:marBottom w:val="101"/>
          <w:divBdr>
            <w:top w:val="none" w:sz="0" w:space="0" w:color="auto"/>
            <w:left w:val="none" w:sz="0" w:space="0" w:color="auto"/>
            <w:bottom w:val="none" w:sz="0" w:space="0" w:color="auto"/>
            <w:right w:val="none" w:sz="0" w:space="0" w:color="auto"/>
          </w:divBdr>
        </w:div>
        <w:div w:id="1100686009">
          <w:marLeft w:val="0"/>
          <w:marRight w:val="0"/>
          <w:marTop w:val="0"/>
          <w:marBottom w:val="101"/>
          <w:divBdr>
            <w:top w:val="none" w:sz="0" w:space="0" w:color="auto"/>
            <w:left w:val="none" w:sz="0" w:space="0" w:color="auto"/>
            <w:bottom w:val="none" w:sz="0" w:space="0" w:color="auto"/>
            <w:right w:val="none" w:sz="0" w:space="0" w:color="auto"/>
          </w:divBdr>
        </w:div>
        <w:div w:id="339478388">
          <w:marLeft w:val="0"/>
          <w:marRight w:val="0"/>
          <w:marTop w:val="0"/>
          <w:marBottom w:val="101"/>
          <w:divBdr>
            <w:top w:val="none" w:sz="0" w:space="0" w:color="auto"/>
            <w:left w:val="none" w:sz="0" w:space="0" w:color="auto"/>
            <w:bottom w:val="none" w:sz="0" w:space="0" w:color="auto"/>
            <w:right w:val="none" w:sz="0" w:space="0" w:color="auto"/>
          </w:divBdr>
        </w:div>
        <w:div w:id="1819491149">
          <w:marLeft w:val="0"/>
          <w:marRight w:val="0"/>
          <w:marTop w:val="0"/>
          <w:marBottom w:val="101"/>
          <w:divBdr>
            <w:top w:val="none" w:sz="0" w:space="0" w:color="auto"/>
            <w:left w:val="none" w:sz="0" w:space="0" w:color="auto"/>
            <w:bottom w:val="none" w:sz="0" w:space="0" w:color="auto"/>
            <w:right w:val="none" w:sz="0" w:space="0" w:color="auto"/>
          </w:divBdr>
        </w:div>
        <w:div w:id="53241143">
          <w:marLeft w:val="0"/>
          <w:marRight w:val="0"/>
          <w:marTop w:val="0"/>
          <w:marBottom w:val="101"/>
          <w:divBdr>
            <w:top w:val="none" w:sz="0" w:space="0" w:color="auto"/>
            <w:left w:val="none" w:sz="0" w:space="0" w:color="auto"/>
            <w:bottom w:val="none" w:sz="0" w:space="0" w:color="auto"/>
            <w:right w:val="none" w:sz="0" w:space="0" w:color="auto"/>
          </w:divBdr>
        </w:div>
        <w:div w:id="61371430">
          <w:marLeft w:val="0"/>
          <w:marRight w:val="0"/>
          <w:marTop w:val="0"/>
          <w:marBottom w:val="101"/>
          <w:divBdr>
            <w:top w:val="none" w:sz="0" w:space="0" w:color="auto"/>
            <w:left w:val="none" w:sz="0" w:space="0" w:color="auto"/>
            <w:bottom w:val="none" w:sz="0" w:space="0" w:color="auto"/>
            <w:right w:val="none" w:sz="0" w:space="0" w:color="auto"/>
          </w:divBdr>
        </w:div>
        <w:div w:id="279606203">
          <w:marLeft w:val="0"/>
          <w:marRight w:val="0"/>
          <w:marTop w:val="0"/>
          <w:marBottom w:val="101"/>
          <w:divBdr>
            <w:top w:val="none" w:sz="0" w:space="0" w:color="auto"/>
            <w:left w:val="none" w:sz="0" w:space="0" w:color="auto"/>
            <w:bottom w:val="none" w:sz="0" w:space="0" w:color="auto"/>
            <w:right w:val="none" w:sz="0" w:space="0" w:color="auto"/>
          </w:divBdr>
        </w:div>
        <w:div w:id="1929314642">
          <w:marLeft w:val="0"/>
          <w:marRight w:val="0"/>
          <w:marTop w:val="0"/>
          <w:marBottom w:val="101"/>
          <w:divBdr>
            <w:top w:val="none" w:sz="0" w:space="0" w:color="auto"/>
            <w:left w:val="none" w:sz="0" w:space="0" w:color="auto"/>
            <w:bottom w:val="none" w:sz="0" w:space="0" w:color="auto"/>
            <w:right w:val="none" w:sz="0" w:space="0" w:color="auto"/>
          </w:divBdr>
        </w:div>
        <w:div w:id="798769704">
          <w:marLeft w:val="0"/>
          <w:marRight w:val="0"/>
          <w:marTop w:val="0"/>
          <w:marBottom w:val="101"/>
          <w:divBdr>
            <w:top w:val="none" w:sz="0" w:space="0" w:color="auto"/>
            <w:left w:val="none" w:sz="0" w:space="0" w:color="auto"/>
            <w:bottom w:val="none" w:sz="0" w:space="0" w:color="auto"/>
            <w:right w:val="none" w:sz="0" w:space="0" w:color="auto"/>
          </w:divBdr>
        </w:div>
        <w:div w:id="18943441">
          <w:marLeft w:val="0"/>
          <w:marRight w:val="0"/>
          <w:marTop w:val="0"/>
          <w:marBottom w:val="101"/>
          <w:divBdr>
            <w:top w:val="none" w:sz="0" w:space="0" w:color="auto"/>
            <w:left w:val="none" w:sz="0" w:space="0" w:color="auto"/>
            <w:bottom w:val="none" w:sz="0" w:space="0" w:color="auto"/>
            <w:right w:val="none" w:sz="0" w:space="0" w:color="auto"/>
          </w:divBdr>
        </w:div>
        <w:div w:id="423305522">
          <w:marLeft w:val="0"/>
          <w:marRight w:val="0"/>
          <w:marTop w:val="0"/>
          <w:marBottom w:val="101"/>
          <w:divBdr>
            <w:top w:val="none" w:sz="0" w:space="0" w:color="auto"/>
            <w:left w:val="none" w:sz="0" w:space="0" w:color="auto"/>
            <w:bottom w:val="none" w:sz="0" w:space="0" w:color="auto"/>
            <w:right w:val="none" w:sz="0" w:space="0" w:color="auto"/>
          </w:divBdr>
        </w:div>
        <w:div w:id="1930562">
          <w:marLeft w:val="0"/>
          <w:marRight w:val="0"/>
          <w:marTop w:val="0"/>
          <w:marBottom w:val="101"/>
          <w:divBdr>
            <w:top w:val="none" w:sz="0" w:space="0" w:color="auto"/>
            <w:left w:val="none" w:sz="0" w:space="0" w:color="auto"/>
            <w:bottom w:val="none" w:sz="0" w:space="0" w:color="auto"/>
            <w:right w:val="none" w:sz="0" w:space="0" w:color="auto"/>
          </w:divBdr>
        </w:div>
        <w:div w:id="20857685">
          <w:marLeft w:val="0"/>
          <w:marRight w:val="0"/>
          <w:marTop w:val="0"/>
          <w:marBottom w:val="101"/>
          <w:divBdr>
            <w:top w:val="none" w:sz="0" w:space="0" w:color="auto"/>
            <w:left w:val="none" w:sz="0" w:space="0" w:color="auto"/>
            <w:bottom w:val="none" w:sz="0" w:space="0" w:color="auto"/>
            <w:right w:val="none" w:sz="0" w:space="0" w:color="auto"/>
          </w:divBdr>
        </w:div>
        <w:div w:id="731581961">
          <w:marLeft w:val="0"/>
          <w:marRight w:val="0"/>
          <w:marTop w:val="0"/>
          <w:marBottom w:val="101"/>
          <w:divBdr>
            <w:top w:val="none" w:sz="0" w:space="0" w:color="auto"/>
            <w:left w:val="none" w:sz="0" w:space="0" w:color="auto"/>
            <w:bottom w:val="none" w:sz="0" w:space="0" w:color="auto"/>
            <w:right w:val="none" w:sz="0" w:space="0" w:color="auto"/>
          </w:divBdr>
        </w:div>
        <w:div w:id="2127192443">
          <w:marLeft w:val="0"/>
          <w:marRight w:val="0"/>
          <w:marTop w:val="0"/>
          <w:marBottom w:val="101"/>
          <w:divBdr>
            <w:top w:val="none" w:sz="0" w:space="0" w:color="auto"/>
            <w:left w:val="none" w:sz="0" w:space="0" w:color="auto"/>
            <w:bottom w:val="none" w:sz="0" w:space="0" w:color="auto"/>
            <w:right w:val="none" w:sz="0" w:space="0" w:color="auto"/>
          </w:divBdr>
        </w:div>
        <w:div w:id="1569194390">
          <w:marLeft w:val="0"/>
          <w:marRight w:val="0"/>
          <w:marTop w:val="0"/>
          <w:marBottom w:val="101"/>
          <w:divBdr>
            <w:top w:val="none" w:sz="0" w:space="0" w:color="auto"/>
            <w:left w:val="none" w:sz="0" w:space="0" w:color="auto"/>
            <w:bottom w:val="none" w:sz="0" w:space="0" w:color="auto"/>
            <w:right w:val="none" w:sz="0" w:space="0" w:color="auto"/>
          </w:divBdr>
        </w:div>
        <w:div w:id="1921014188">
          <w:marLeft w:val="0"/>
          <w:marRight w:val="0"/>
          <w:marTop w:val="0"/>
          <w:marBottom w:val="101"/>
          <w:divBdr>
            <w:top w:val="none" w:sz="0" w:space="0" w:color="auto"/>
            <w:left w:val="none" w:sz="0" w:space="0" w:color="auto"/>
            <w:bottom w:val="none" w:sz="0" w:space="0" w:color="auto"/>
            <w:right w:val="none" w:sz="0" w:space="0" w:color="auto"/>
          </w:divBdr>
        </w:div>
        <w:div w:id="1322732964">
          <w:marLeft w:val="0"/>
          <w:marRight w:val="0"/>
          <w:marTop w:val="0"/>
          <w:marBottom w:val="101"/>
          <w:divBdr>
            <w:top w:val="none" w:sz="0" w:space="0" w:color="auto"/>
            <w:left w:val="none" w:sz="0" w:space="0" w:color="auto"/>
            <w:bottom w:val="none" w:sz="0" w:space="0" w:color="auto"/>
            <w:right w:val="none" w:sz="0" w:space="0" w:color="auto"/>
          </w:divBdr>
        </w:div>
        <w:div w:id="715392502">
          <w:marLeft w:val="0"/>
          <w:marRight w:val="0"/>
          <w:marTop w:val="0"/>
          <w:marBottom w:val="101"/>
          <w:divBdr>
            <w:top w:val="none" w:sz="0" w:space="0" w:color="auto"/>
            <w:left w:val="none" w:sz="0" w:space="0" w:color="auto"/>
            <w:bottom w:val="none" w:sz="0" w:space="0" w:color="auto"/>
            <w:right w:val="none" w:sz="0" w:space="0" w:color="auto"/>
          </w:divBdr>
        </w:div>
        <w:div w:id="1174296675">
          <w:marLeft w:val="0"/>
          <w:marRight w:val="0"/>
          <w:marTop w:val="0"/>
          <w:marBottom w:val="101"/>
          <w:divBdr>
            <w:top w:val="none" w:sz="0" w:space="0" w:color="auto"/>
            <w:left w:val="none" w:sz="0" w:space="0" w:color="auto"/>
            <w:bottom w:val="none" w:sz="0" w:space="0" w:color="auto"/>
            <w:right w:val="none" w:sz="0" w:space="0" w:color="auto"/>
          </w:divBdr>
        </w:div>
        <w:div w:id="1632007071">
          <w:marLeft w:val="0"/>
          <w:marRight w:val="0"/>
          <w:marTop w:val="0"/>
          <w:marBottom w:val="101"/>
          <w:divBdr>
            <w:top w:val="none" w:sz="0" w:space="0" w:color="auto"/>
            <w:left w:val="none" w:sz="0" w:space="0" w:color="auto"/>
            <w:bottom w:val="none" w:sz="0" w:space="0" w:color="auto"/>
            <w:right w:val="none" w:sz="0" w:space="0" w:color="auto"/>
          </w:divBdr>
        </w:div>
        <w:div w:id="1340112269">
          <w:marLeft w:val="0"/>
          <w:marRight w:val="0"/>
          <w:marTop w:val="0"/>
          <w:marBottom w:val="101"/>
          <w:divBdr>
            <w:top w:val="none" w:sz="0" w:space="0" w:color="auto"/>
            <w:left w:val="none" w:sz="0" w:space="0" w:color="auto"/>
            <w:bottom w:val="none" w:sz="0" w:space="0" w:color="auto"/>
            <w:right w:val="none" w:sz="0" w:space="0" w:color="auto"/>
          </w:divBdr>
        </w:div>
        <w:div w:id="1054549467">
          <w:marLeft w:val="0"/>
          <w:marRight w:val="0"/>
          <w:marTop w:val="0"/>
          <w:marBottom w:val="101"/>
          <w:divBdr>
            <w:top w:val="none" w:sz="0" w:space="0" w:color="auto"/>
            <w:left w:val="none" w:sz="0" w:space="0" w:color="auto"/>
            <w:bottom w:val="none" w:sz="0" w:space="0" w:color="auto"/>
            <w:right w:val="none" w:sz="0" w:space="0" w:color="auto"/>
          </w:divBdr>
        </w:div>
        <w:div w:id="1659846906">
          <w:marLeft w:val="0"/>
          <w:marRight w:val="0"/>
          <w:marTop w:val="0"/>
          <w:marBottom w:val="101"/>
          <w:divBdr>
            <w:top w:val="none" w:sz="0" w:space="0" w:color="auto"/>
            <w:left w:val="none" w:sz="0" w:space="0" w:color="auto"/>
            <w:bottom w:val="none" w:sz="0" w:space="0" w:color="auto"/>
            <w:right w:val="none" w:sz="0" w:space="0" w:color="auto"/>
          </w:divBdr>
        </w:div>
        <w:div w:id="1082145989">
          <w:marLeft w:val="0"/>
          <w:marRight w:val="0"/>
          <w:marTop w:val="0"/>
          <w:marBottom w:val="101"/>
          <w:divBdr>
            <w:top w:val="none" w:sz="0" w:space="0" w:color="auto"/>
            <w:left w:val="none" w:sz="0" w:space="0" w:color="auto"/>
            <w:bottom w:val="none" w:sz="0" w:space="0" w:color="auto"/>
            <w:right w:val="none" w:sz="0" w:space="0" w:color="auto"/>
          </w:divBdr>
        </w:div>
        <w:div w:id="1619332132">
          <w:marLeft w:val="0"/>
          <w:marRight w:val="0"/>
          <w:marTop w:val="0"/>
          <w:marBottom w:val="101"/>
          <w:divBdr>
            <w:top w:val="none" w:sz="0" w:space="0" w:color="auto"/>
            <w:left w:val="none" w:sz="0" w:space="0" w:color="auto"/>
            <w:bottom w:val="none" w:sz="0" w:space="0" w:color="auto"/>
            <w:right w:val="none" w:sz="0" w:space="0" w:color="auto"/>
          </w:divBdr>
        </w:div>
        <w:div w:id="1597637972">
          <w:marLeft w:val="0"/>
          <w:marRight w:val="0"/>
          <w:marTop w:val="0"/>
          <w:marBottom w:val="101"/>
          <w:divBdr>
            <w:top w:val="none" w:sz="0" w:space="0" w:color="auto"/>
            <w:left w:val="none" w:sz="0" w:space="0" w:color="auto"/>
            <w:bottom w:val="none" w:sz="0" w:space="0" w:color="auto"/>
            <w:right w:val="none" w:sz="0" w:space="0" w:color="auto"/>
          </w:divBdr>
        </w:div>
        <w:div w:id="2084140368">
          <w:marLeft w:val="0"/>
          <w:marRight w:val="0"/>
          <w:marTop w:val="0"/>
          <w:marBottom w:val="101"/>
          <w:divBdr>
            <w:top w:val="none" w:sz="0" w:space="0" w:color="auto"/>
            <w:left w:val="none" w:sz="0" w:space="0" w:color="auto"/>
            <w:bottom w:val="none" w:sz="0" w:space="0" w:color="auto"/>
            <w:right w:val="none" w:sz="0" w:space="0" w:color="auto"/>
          </w:divBdr>
        </w:div>
        <w:div w:id="881332491">
          <w:marLeft w:val="0"/>
          <w:marRight w:val="0"/>
          <w:marTop w:val="0"/>
          <w:marBottom w:val="101"/>
          <w:divBdr>
            <w:top w:val="none" w:sz="0" w:space="0" w:color="auto"/>
            <w:left w:val="none" w:sz="0" w:space="0" w:color="auto"/>
            <w:bottom w:val="none" w:sz="0" w:space="0" w:color="auto"/>
            <w:right w:val="none" w:sz="0" w:space="0" w:color="auto"/>
          </w:divBdr>
        </w:div>
        <w:div w:id="1470511730">
          <w:marLeft w:val="0"/>
          <w:marRight w:val="0"/>
          <w:marTop w:val="0"/>
          <w:marBottom w:val="101"/>
          <w:divBdr>
            <w:top w:val="none" w:sz="0" w:space="0" w:color="auto"/>
            <w:left w:val="none" w:sz="0" w:space="0" w:color="auto"/>
            <w:bottom w:val="none" w:sz="0" w:space="0" w:color="auto"/>
            <w:right w:val="none" w:sz="0" w:space="0" w:color="auto"/>
          </w:divBdr>
        </w:div>
      </w:divsChild>
    </w:div>
    <w:div w:id="53167987">
      <w:bodyDiv w:val="1"/>
      <w:marLeft w:val="0"/>
      <w:marRight w:val="0"/>
      <w:marTop w:val="0"/>
      <w:marBottom w:val="0"/>
      <w:divBdr>
        <w:top w:val="none" w:sz="0" w:space="0" w:color="auto"/>
        <w:left w:val="none" w:sz="0" w:space="0" w:color="auto"/>
        <w:bottom w:val="none" w:sz="0" w:space="0" w:color="auto"/>
        <w:right w:val="none" w:sz="0" w:space="0" w:color="auto"/>
      </w:divBdr>
    </w:div>
    <w:div w:id="65804157">
      <w:bodyDiv w:val="1"/>
      <w:marLeft w:val="0"/>
      <w:marRight w:val="0"/>
      <w:marTop w:val="0"/>
      <w:marBottom w:val="0"/>
      <w:divBdr>
        <w:top w:val="none" w:sz="0" w:space="0" w:color="auto"/>
        <w:left w:val="none" w:sz="0" w:space="0" w:color="auto"/>
        <w:bottom w:val="none" w:sz="0" w:space="0" w:color="auto"/>
        <w:right w:val="none" w:sz="0" w:space="0" w:color="auto"/>
      </w:divBdr>
    </w:div>
    <w:div w:id="67922175">
      <w:bodyDiv w:val="1"/>
      <w:marLeft w:val="0"/>
      <w:marRight w:val="0"/>
      <w:marTop w:val="0"/>
      <w:marBottom w:val="0"/>
      <w:divBdr>
        <w:top w:val="none" w:sz="0" w:space="0" w:color="auto"/>
        <w:left w:val="none" w:sz="0" w:space="0" w:color="auto"/>
        <w:bottom w:val="none" w:sz="0" w:space="0" w:color="auto"/>
        <w:right w:val="none" w:sz="0" w:space="0" w:color="auto"/>
      </w:divBdr>
    </w:div>
    <w:div w:id="85470120">
      <w:bodyDiv w:val="1"/>
      <w:marLeft w:val="0"/>
      <w:marRight w:val="0"/>
      <w:marTop w:val="0"/>
      <w:marBottom w:val="0"/>
      <w:divBdr>
        <w:top w:val="none" w:sz="0" w:space="0" w:color="auto"/>
        <w:left w:val="none" w:sz="0" w:space="0" w:color="auto"/>
        <w:bottom w:val="none" w:sz="0" w:space="0" w:color="auto"/>
        <w:right w:val="none" w:sz="0" w:space="0" w:color="auto"/>
      </w:divBdr>
    </w:div>
    <w:div w:id="124465477">
      <w:bodyDiv w:val="1"/>
      <w:marLeft w:val="0"/>
      <w:marRight w:val="0"/>
      <w:marTop w:val="0"/>
      <w:marBottom w:val="0"/>
      <w:divBdr>
        <w:top w:val="none" w:sz="0" w:space="0" w:color="auto"/>
        <w:left w:val="none" w:sz="0" w:space="0" w:color="auto"/>
        <w:bottom w:val="none" w:sz="0" w:space="0" w:color="auto"/>
        <w:right w:val="none" w:sz="0" w:space="0" w:color="auto"/>
      </w:divBdr>
      <w:divsChild>
        <w:div w:id="1136264530">
          <w:marLeft w:val="0"/>
          <w:marRight w:val="0"/>
          <w:marTop w:val="0"/>
          <w:marBottom w:val="101"/>
          <w:divBdr>
            <w:top w:val="none" w:sz="0" w:space="0" w:color="auto"/>
            <w:left w:val="none" w:sz="0" w:space="0" w:color="auto"/>
            <w:bottom w:val="none" w:sz="0" w:space="0" w:color="auto"/>
            <w:right w:val="none" w:sz="0" w:space="0" w:color="auto"/>
          </w:divBdr>
        </w:div>
        <w:div w:id="657614021">
          <w:marLeft w:val="0"/>
          <w:marRight w:val="0"/>
          <w:marTop w:val="0"/>
          <w:marBottom w:val="101"/>
          <w:divBdr>
            <w:top w:val="none" w:sz="0" w:space="0" w:color="auto"/>
            <w:left w:val="none" w:sz="0" w:space="0" w:color="auto"/>
            <w:bottom w:val="none" w:sz="0" w:space="0" w:color="auto"/>
            <w:right w:val="none" w:sz="0" w:space="0" w:color="auto"/>
          </w:divBdr>
        </w:div>
        <w:div w:id="2055931311">
          <w:marLeft w:val="0"/>
          <w:marRight w:val="0"/>
          <w:marTop w:val="0"/>
          <w:marBottom w:val="101"/>
          <w:divBdr>
            <w:top w:val="none" w:sz="0" w:space="0" w:color="auto"/>
            <w:left w:val="none" w:sz="0" w:space="0" w:color="auto"/>
            <w:bottom w:val="none" w:sz="0" w:space="0" w:color="auto"/>
            <w:right w:val="none" w:sz="0" w:space="0" w:color="auto"/>
          </w:divBdr>
        </w:div>
      </w:divsChild>
    </w:div>
    <w:div w:id="131170133">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7947">
      <w:bodyDiv w:val="1"/>
      <w:marLeft w:val="0"/>
      <w:marRight w:val="0"/>
      <w:marTop w:val="0"/>
      <w:marBottom w:val="0"/>
      <w:divBdr>
        <w:top w:val="none" w:sz="0" w:space="0" w:color="auto"/>
        <w:left w:val="none" w:sz="0" w:space="0" w:color="auto"/>
        <w:bottom w:val="none" w:sz="0" w:space="0" w:color="auto"/>
        <w:right w:val="none" w:sz="0" w:space="0" w:color="auto"/>
      </w:divBdr>
    </w:div>
    <w:div w:id="160238179">
      <w:bodyDiv w:val="1"/>
      <w:marLeft w:val="0"/>
      <w:marRight w:val="0"/>
      <w:marTop w:val="0"/>
      <w:marBottom w:val="0"/>
      <w:divBdr>
        <w:top w:val="none" w:sz="0" w:space="0" w:color="auto"/>
        <w:left w:val="none" w:sz="0" w:space="0" w:color="auto"/>
        <w:bottom w:val="none" w:sz="0" w:space="0" w:color="auto"/>
        <w:right w:val="none" w:sz="0" w:space="0" w:color="auto"/>
      </w:divBdr>
    </w:div>
    <w:div w:id="165675117">
      <w:bodyDiv w:val="1"/>
      <w:marLeft w:val="0"/>
      <w:marRight w:val="0"/>
      <w:marTop w:val="0"/>
      <w:marBottom w:val="0"/>
      <w:divBdr>
        <w:top w:val="none" w:sz="0" w:space="0" w:color="auto"/>
        <w:left w:val="none" w:sz="0" w:space="0" w:color="auto"/>
        <w:bottom w:val="none" w:sz="0" w:space="0" w:color="auto"/>
        <w:right w:val="none" w:sz="0" w:space="0" w:color="auto"/>
      </w:divBdr>
    </w:div>
    <w:div w:id="174074225">
      <w:bodyDiv w:val="1"/>
      <w:marLeft w:val="0"/>
      <w:marRight w:val="0"/>
      <w:marTop w:val="0"/>
      <w:marBottom w:val="0"/>
      <w:divBdr>
        <w:top w:val="none" w:sz="0" w:space="0" w:color="auto"/>
        <w:left w:val="none" w:sz="0" w:space="0" w:color="auto"/>
        <w:bottom w:val="none" w:sz="0" w:space="0" w:color="auto"/>
        <w:right w:val="none" w:sz="0" w:space="0" w:color="auto"/>
      </w:divBdr>
    </w:div>
    <w:div w:id="178008367">
      <w:bodyDiv w:val="1"/>
      <w:marLeft w:val="0"/>
      <w:marRight w:val="0"/>
      <w:marTop w:val="0"/>
      <w:marBottom w:val="0"/>
      <w:divBdr>
        <w:top w:val="none" w:sz="0" w:space="0" w:color="auto"/>
        <w:left w:val="none" w:sz="0" w:space="0" w:color="auto"/>
        <w:bottom w:val="none" w:sz="0" w:space="0" w:color="auto"/>
        <w:right w:val="none" w:sz="0" w:space="0" w:color="auto"/>
      </w:divBdr>
    </w:div>
    <w:div w:id="189807232">
      <w:bodyDiv w:val="1"/>
      <w:marLeft w:val="0"/>
      <w:marRight w:val="0"/>
      <w:marTop w:val="0"/>
      <w:marBottom w:val="0"/>
      <w:divBdr>
        <w:top w:val="none" w:sz="0" w:space="0" w:color="auto"/>
        <w:left w:val="none" w:sz="0" w:space="0" w:color="auto"/>
        <w:bottom w:val="none" w:sz="0" w:space="0" w:color="auto"/>
        <w:right w:val="none" w:sz="0" w:space="0" w:color="auto"/>
      </w:divBdr>
      <w:divsChild>
        <w:div w:id="1473450929">
          <w:marLeft w:val="0"/>
          <w:marRight w:val="0"/>
          <w:marTop w:val="0"/>
          <w:marBottom w:val="101"/>
          <w:divBdr>
            <w:top w:val="none" w:sz="0" w:space="0" w:color="auto"/>
            <w:left w:val="none" w:sz="0" w:space="0" w:color="auto"/>
            <w:bottom w:val="none" w:sz="0" w:space="0" w:color="auto"/>
            <w:right w:val="none" w:sz="0" w:space="0" w:color="auto"/>
          </w:divBdr>
        </w:div>
        <w:div w:id="1855029107">
          <w:marLeft w:val="0"/>
          <w:marRight w:val="0"/>
          <w:marTop w:val="0"/>
          <w:marBottom w:val="101"/>
          <w:divBdr>
            <w:top w:val="none" w:sz="0" w:space="0" w:color="auto"/>
            <w:left w:val="none" w:sz="0" w:space="0" w:color="auto"/>
            <w:bottom w:val="none" w:sz="0" w:space="0" w:color="auto"/>
            <w:right w:val="none" w:sz="0" w:space="0" w:color="auto"/>
          </w:divBdr>
        </w:div>
      </w:divsChild>
    </w:div>
    <w:div w:id="190150569">
      <w:bodyDiv w:val="1"/>
      <w:marLeft w:val="0"/>
      <w:marRight w:val="0"/>
      <w:marTop w:val="0"/>
      <w:marBottom w:val="0"/>
      <w:divBdr>
        <w:top w:val="none" w:sz="0" w:space="0" w:color="auto"/>
        <w:left w:val="none" w:sz="0" w:space="0" w:color="auto"/>
        <w:bottom w:val="none" w:sz="0" w:space="0" w:color="auto"/>
        <w:right w:val="none" w:sz="0" w:space="0" w:color="auto"/>
      </w:divBdr>
      <w:divsChild>
        <w:div w:id="577909444">
          <w:marLeft w:val="0"/>
          <w:marRight w:val="0"/>
          <w:marTop w:val="0"/>
          <w:marBottom w:val="101"/>
          <w:divBdr>
            <w:top w:val="none" w:sz="0" w:space="0" w:color="auto"/>
            <w:left w:val="none" w:sz="0" w:space="0" w:color="auto"/>
            <w:bottom w:val="none" w:sz="0" w:space="0" w:color="auto"/>
            <w:right w:val="none" w:sz="0" w:space="0" w:color="auto"/>
          </w:divBdr>
        </w:div>
        <w:div w:id="274211161">
          <w:marLeft w:val="0"/>
          <w:marRight w:val="0"/>
          <w:marTop w:val="0"/>
          <w:marBottom w:val="101"/>
          <w:divBdr>
            <w:top w:val="none" w:sz="0" w:space="0" w:color="auto"/>
            <w:left w:val="none" w:sz="0" w:space="0" w:color="auto"/>
            <w:bottom w:val="none" w:sz="0" w:space="0" w:color="auto"/>
            <w:right w:val="none" w:sz="0" w:space="0" w:color="auto"/>
          </w:divBdr>
        </w:div>
        <w:div w:id="1917015406">
          <w:marLeft w:val="0"/>
          <w:marRight w:val="0"/>
          <w:marTop w:val="0"/>
          <w:marBottom w:val="101"/>
          <w:divBdr>
            <w:top w:val="none" w:sz="0" w:space="0" w:color="auto"/>
            <w:left w:val="none" w:sz="0" w:space="0" w:color="auto"/>
            <w:bottom w:val="none" w:sz="0" w:space="0" w:color="auto"/>
            <w:right w:val="none" w:sz="0" w:space="0" w:color="auto"/>
          </w:divBdr>
        </w:div>
        <w:div w:id="1803230153">
          <w:marLeft w:val="0"/>
          <w:marRight w:val="0"/>
          <w:marTop w:val="0"/>
          <w:marBottom w:val="101"/>
          <w:divBdr>
            <w:top w:val="none" w:sz="0" w:space="0" w:color="auto"/>
            <w:left w:val="none" w:sz="0" w:space="0" w:color="auto"/>
            <w:bottom w:val="none" w:sz="0" w:space="0" w:color="auto"/>
            <w:right w:val="none" w:sz="0" w:space="0" w:color="auto"/>
          </w:divBdr>
        </w:div>
      </w:divsChild>
    </w:div>
    <w:div w:id="223948982">
      <w:bodyDiv w:val="1"/>
      <w:marLeft w:val="0"/>
      <w:marRight w:val="0"/>
      <w:marTop w:val="0"/>
      <w:marBottom w:val="0"/>
      <w:divBdr>
        <w:top w:val="none" w:sz="0" w:space="0" w:color="auto"/>
        <w:left w:val="none" w:sz="0" w:space="0" w:color="auto"/>
        <w:bottom w:val="none" w:sz="0" w:space="0" w:color="auto"/>
        <w:right w:val="none" w:sz="0" w:space="0" w:color="auto"/>
      </w:divBdr>
    </w:div>
    <w:div w:id="234901570">
      <w:bodyDiv w:val="1"/>
      <w:marLeft w:val="0"/>
      <w:marRight w:val="0"/>
      <w:marTop w:val="0"/>
      <w:marBottom w:val="0"/>
      <w:divBdr>
        <w:top w:val="none" w:sz="0" w:space="0" w:color="auto"/>
        <w:left w:val="none" w:sz="0" w:space="0" w:color="auto"/>
        <w:bottom w:val="none" w:sz="0" w:space="0" w:color="auto"/>
        <w:right w:val="none" w:sz="0" w:space="0" w:color="auto"/>
      </w:divBdr>
    </w:div>
    <w:div w:id="243535675">
      <w:bodyDiv w:val="1"/>
      <w:marLeft w:val="0"/>
      <w:marRight w:val="0"/>
      <w:marTop w:val="0"/>
      <w:marBottom w:val="0"/>
      <w:divBdr>
        <w:top w:val="none" w:sz="0" w:space="0" w:color="auto"/>
        <w:left w:val="none" w:sz="0" w:space="0" w:color="auto"/>
        <w:bottom w:val="none" w:sz="0" w:space="0" w:color="auto"/>
        <w:right w:val="none" w:sz="0" w:space="0" w:color="auto"/>
      </w:divBdr>
    </w:div>
    <w:div w:id="254942121">
      <w:bodyDiv w:val="1"/>
      <w:marLeft w:val="0"/>
      <w:marRight w:val="0"/>
      <w:marTop w:val="0"/>
      <w:marBottom w:val="0"/>
      <w:divBdr>
        <w:top w:val="none" w:sz="0" w:space="0" w:color="auto"/>
        <w:left w:val="none" w:sz="0" w:space="0" w:color="auto"/>
        <w:bottom w:val="none" w:sz="0" w:space="0" w:color="auto"/>
        <w:right w:val="none" w:sz="0" w:space="0" w:color="auto"/>
      </w:divBdr>
      <w:divsChild>
        <w:div w:id="1148011302">
          <w:marLeft w:val="0"/>
          <w:marRight w:val="0"/>
          <w:marTop w:val="101"/>
          <w:marBottom w:val="101"/>
          <w:divBdr>
            <w:top w:val="none" w:sz="0" w:space="0" w:color="auto"/>
            <w:left w:val="none" w:sz="0" w:space="0" w:color="auto"/>
            <w:bottom w:val="none" w:sz="0" w:space="0" w:color="auto"/>
            <w:right w:val="none" w:sz="0" w:space="0" w:color="auto"/>
          </w:divBdr>
        </w:div>
        <w:div w:id="602111592">
          <w:marLeft w:val="0"/>
          <w:marRight w:val="0"/>
          <w:marTop w:val="0"/>
          <w:marBottom w:val="101"/>
          <w:divBdr>
            <w:top w:val="none" w:sz="0" w:space="0" w:color="auto"/>
            <w:left w:val="none" w:sz="0" w:space="0" w:color="auto"/>
            <w:bottom w:val="none" w:sz="0" w:space="0" w:color="auto"/>
            <w:right w:val="none" w:sz="0" w:space="0" w:color="auto"/>
          </w:divBdr>
        </w:div>
      </w:divsChild>
    </w:div>
    <w:div w:id="267087050">
      <w:bodyDiv w:val="1"/>
      <w:marLeft w:val="0"/>
      <w:marRight w:val="0"/>
      <w:marTop w:val="0"/>
      <w:marBottom w:val="0"/>
      <w:divBdr>
        <w:top w:val="none" w:sz="0" w:space="0" w:color="auto"/>
        <w:left w:val="none" w:sz="0" w:space="0" w:color="auto"/>
        <w:bottom w:val="none" w:sz="0" w:space="0" w:color="auto"/>
        <w:right w:val="none" w:sz="0" w:space="0" w:color="auto"/>
      </w:divBdr>
    </w:div>
    <w:div w:id="274794240">
      <w:bodyDiv w:val="1"/>
      <w:marLeft w:val="0"/>
      <w:marRight w:val="0"/>
      <w:marTop w:val="0"/>
      <w:marBottom w:val="0"/>
      <w:divBdr>
        <w:top w:val="none" w:sz="0" w:space="0" w:color="auto"/>
        <w:left w:val="none" w:sz="0" w:space="0" w:color="auto"/>
        <w:bottom w:val="none" w:sz="0" w:space="0" w:color="auto"/>
        <w:right w:val="none" w:sz="0" w:space="0" w:color="auto"/>
      </w:divBdr>
    </w:div>
    <w:div w:id="338238716">
      <w:bodyDiv w:val="1"/>
      <w:marLeft w:val="0"/>
      <w:marRight w:val="0"/>
      <w:marTop w:val="0"/>
      <w:marBottom w:val="0"/>
      <w:divBdr>
        <w:top w:val="none" w:sz="0" w:space="0" w:color="auto"/>
        <w:left w:val="none" w:sz="0" w:space="0" w:color="auto"/>
        <w:bottom w:val="none" w:sz="0" w:space="0" w:color="auto"/>
        <w:right w:val="none" w:sz="0" w:space="0" w:color="auto"/>
      </w:divBdr>
    </w:div>
    <w:div w:id="355350471">
      <w:bodyDiv w:val="1"/>
      <w:marLeft w:val="0"/>
      <w:marRight w:val="0"/>
      <w:marTop w:val="0"/>
      <w:marBottom w:val="0"/>
      <w:divBdr>
        <w:top w:val="none" w:sz="0" w:space="0" w:color="auto"/>
        <w:left w:val="none" w:sz="0" w:space="0" w:color="auto"/>
        <w:bottom w:val="none" w:sz="0" w:space="0" w:color="auto"/>
        <w:right w:val="none" w:sz="0" w:space="0" w:color="auto"/>
      </w:divBdr>
    </w:div>
    <w:div w:id="381563293">
      <w:bodyDiv w:val="1"/>
      <w:marLeft w:val="0"/>
      <w:marRight w:val="0"/>
      <w:marTop w:val="0"/>
      <w:marBottom w:val="0"/>
      <w:divBdr>
        <w:top w:val="none" w:sz="0" w:space="0" w:color="auto"/>
        <w:left w:val="none" w:sz="0" w:space="0" w:color="auto"/>
        <w:bottom w:val="none" w:sz="0" w:space="0" w:color="auto"/>
        <w:right w:val="none" w:sz="0" w:space="0" w:color="auto"/>
      </w:divBdr>
    </w:div>
    <w:div w:id="427771758">
      <w:bodyDiv w:val="1"/>
      <w:marLeft w:val="0"/>
      <w:marRight w:val="0"/>
      <w:marTop w:val="0"/>
      <w:marBottom w:val="0"/>
      <w:divBdr>
        <w:top w:val="none" w:sz="0" w:space="0" w:color="auto"/>
        <w:left w:val="none" w:sz="0" w:space="0" w:color="auto"/>
        <w:bottom w:val="none" w:sz="0" w:space="0" w:color="auto"/>
        <w:right w:val="none" w:sz="0" w:space="0" w:color="auto"/>
      </w:divBdr>
      <w:divsChild>
        <w:div w:id="545413395">
          <w:marLeft w:val="0"/>
          <w:marRight w:val="0"/>
          <w:marTop w:val="0"/>
          <w:marBottom w:val="101"/>
          <w:divBdr>
            <w:top w:val="none" w:sz="0" w:space="0" w:color="auto"/>
            <w:left w:val="none" w:sz="0" w:space="0" w:color="auto"/>
            <w:bottom w:val="none" w:sz="0" w:space="0" w:color="auto"/>
            <w:right w:val="none" w:sz="0" w:space="0" w:color="auto"/>
          </w:divBdr>
        </w:div>
        <w:div w:id="1356078786">
          <w:marLeft w:val="0"/>
          <w:marRight w:val="0"/>
          <w:marTop w:val="0"/>
          <w:marBottom w:val="101"/>
          <w:divBdr>
            <w:top w:val="none" w:sz="0" w:space="0" w:color="auto"/>
            <w:left w:val="none" w:sz="0" w:space="0" w:color="auto"/>
            <w:bottom w:val="none" w:sz="0" w:space="0" w:color="auto"/>
            <w:right w:val="none" w:sz="0" w:space="0" w:color="auto"/>
          </w:divBdr>
        </w:div>
      </w:divsChild>
    </w:div>
    <w:div w:id="447628250">
      <w:bodyDiv w:val="1"/>
      <w:marLeft w:val="0"/>
      <w:marRight w:val="0"/>
      <w:marTop w:val="0"/>
      <w:marBottom w:val="0"/>
      <w:divBdr>
        <w:top w:val="none" w:sz="0" w:space="0" w:color="auto"/>
        <w:left w:val="none" w:sz="0" w:space="0" w:color="auto"/>
        <w:bottom w:val="none" w:sz="0" w:space="0" w:color="auto"/>
        <w:right w:val="none" w:sz="0" w:space="0" w:color="auto"/>
      </w:divBdr>
    </w:div>
    <w:div w:id="449318821">
      <w:bodyDiv w:val="1"/>
      <w:marLeft w:val="0"/>
      <w:marRight w:val="0"/>
      <w:marTop w:val="0"/>
      <w:marBottom w:val="0"/>
      <w:divBdr>
        <w:top w:val="none" w:sz="0" w:space="0" w:color="auto"/>
        <w:left w:val="none" w:sz="0" w:space="0" w:color="auto"/>
        <w:bottom w:val="none" w:sz="0" w:space="0" w:color="auto"/>
        <w:right w:val="none" w:sz="0" w:space="0" w:color="auto"/>
      </w:divBdr>
    </w:div>
    <w:div w:id="453598269">
      <w:bodyDiv w:val="1"/>
      <w:marLeft w:val="0"/>
      <w:marRight w:val="0"/>
      <w:marTop w:val="0"/>
      <w:marBottom w:val="0"/>
      <w:divBdr>
        <w:top w:val="none" w:sz="0" w:space="0" w:color="auto"/>
        <w:left w:val="none" w:sz="0" w:space="0" w:color="auto"/>
        <w:bottom w:val="none" w:sz="0" w:space="0" w:color="auto"/>
        <w:right w:val="none" w:sz="0" w:space="0" w:color="auto"/>
      </w:divBdr>
    </w:div>
    <w:div w:id="455878301">
      <w:bodyDiv w:val="1"/>
      <w:marLeft w:val="0"/>
      <w:marRight w:val="0"/>
      <w:marTop w:val="0"/>
      <w:marBottom w:val="0"/>
      <w:divBdr>
        <w:top w:val="none" w:sz="0" w:space="0" w:color="auto"/>
        <w:left w:val="none" w:sz="0" w:space="0" w:color="auto"/>
        <w:bottom w:val="none" w:sz="0" w:space="0" w:color="auto"/>
        <w:right w:val="none" w:sz="0" w:space="0" w:color="auto"/>
      </w:divBdr>
    </w:div>
    <w:div w:id="462701692">
      <w:bodyDiv w:val="1"/>
      <w:marLeft w:val="0"/>
      <w:marRight w:val="0"/>
      <w:marTop w:val="0"/>
      <w:marBottom w:val="0"/>
      <w:divBdr>
        <w:top w:val="none" w:sz="0" w:space="0" w:color="auto"/>
        <w:left w:val="none" w:sz="0" w:space="0" w:color="auto"/>
        <w:bottom w:val="none" w:sz="0" w:space="0" w:color="auto"/>
        <w:right w:val="none" w:sz="0" w:space="0" w:color="auto"/>
      </w:divBdr>
      <w:divsChild>
        <w:div w:id="833371746">
          <w:marLeft w:val="0"/>
          <w:marRight w:val="0"/>
          <w:marTop w:val="0"/>
          <w:marBottom w:val="0"/>
          <w:divBdr>
            <w:top w:val="none" w:sz="0" w:space="0" w:color="auto"/>
            <w:left w:val="none" w:sz="0" w:space="0" w:color="auto"/>
            <w:bottom w:val="none" w:sz="0" w:space="0" w:color="auto"/>
            <w:right w:val="none" w:sz="0" w:space="0" w:color="auto"/>
          </w:divBdr>
        </w:div>
        <w:div w:id="1409577222">
          <w:marLeft w:val="0"/>
          <w:marRight w:val="0"/>
          <w:marTop w:val="0"/>
          <w:marBottom w:val="0"/>
          <w:divBdr>
            <w:top w:val="none" w:sz="0" w:space="0" w:color="auto"/>
            <w:left w:val="none" w:sz="0" w:space="0" w:color="auto"/>
            <w:bottom w:val="none" w:sz="0" w:space="0" w:color="auto"/>
            <w:right w:val="none" w:sz="0" w:space="0" w:color="auto"/>
          </w:divBdr>
        </w:div>
        <w:div w:id="552810326">
          <w:marLeft w:val="0"/>
          <w:marRight w:val="0"/>
          <w:marTop w:val="0"/>
          <w:marBottom w:val="0"/>
          <w:divBdr>
            <w:top w:val="none" w:sz="0" w:space="0" w:color="auto"/>
            <w:left w:val="none" w:sz="0" w:space="0" w:color="auto"/>
            <w:bottom w:val="none" w:sz="0" w:space="0" w:color="auto"/>
            <w:right w:val="none" w:sz="0" w:space="0" w:color="auto"/>
          </w:divBdr>
        </w:div>
        <w:div w:id="2088572780">
          <w:marLeft w:val="0"/>
          <w:marRight w:val="0"/>
          <w:marTop w:val="0"/>
          <w:marBottom w:val="0"/>
          <w:divBdr>
            <w:top w:val="none" w:sz="0" w:space="0" w:color="auto"/>
            <w:left w:val="none" w:sz="0" w:space="0" w:color="auto"/>
            <w:bottom w:val="none" w:sz="0" w:space="0" w:color="auto"/>
            <w:right w:val="none" w:sz="0" w:space="0" w:color="auto"/>
          </w:divBdr>
        </w:div>
        <w:div w:id="458839082">
          <w:marLeft w:val="0"/>
          <w:marRight w:val="0"/>
          <w:marTop w:val="0"/>
          <w:marBottom w:val="0"/>
          <w:divBdr>
            <w:top w:val="none" w:sz="0" w:space="0" w:color="auto"/>
            <w:left w:val="none" w:sz="0" w:space="0" w:color="auto"/>
            <w:bottom w:val="none" w:sz="0" w:space="0" w:color="auto"/>
            <w:right w:val="none" w:sz="0" w:space="0" w:color="auto"/>
          </w:divBdr>
        </w:div>
        <w:div w:id="57558940">
          <w:marLeft w:val="0"/>
          <w:marRight w:val="0"/>
          <w:marTop w:val="0"/>
          <w:marBottom w:val="0"/>
          <w:divBdr>
            <w:top w:val="none" w:sz="0" w:space="0" w:color="auto"/>
            <w:left w:val="none" w:sz="0" w:space="0" w:color="auto"/>
            <w:bottom w:val="none" w:sz="0" w:space="0" w:color="auto"/>
            <w:right w:val="none" w:sz="0" w:space="0" w:color="auto"/>
          </w:divBdr>
        </w:div>
        <w:div w:id="1402288917">
          <w:marLeft w:val="0"/>
          <w:marRight w:val="0"/>
          <w:marTop w:val="0"/>
          <w:marBottom w:val="0"/>
          <w:divBdr>
            <w:top w:val="none" w:sz="0" w:space="0" w:color="auto"/>
            <w:left w:val="none" w:sz="0" w:space="0" w:color="auto"/>
            <w:bottom w:val="none" w:sz="0" w:space="0" w:color="auto"/>
            <w:right w:val="none" w:sz="0" w:space="0" w:color="auto"/>
          </w:divBdr>
        </w:div>
      </w:divsChild>
    </w:div>
    <w:div w:id="470170896">
      <w:bodyDiv w:val="1"/>
      <w:marLeft w:val="0"/>
      <w:marRight w:val="0"/>
      <w:marTop w:val="0"/>
      <w:marBottom w:val="0"/>
      <w:divBdr>
        <w:top w:val="none" w:sz="0" w:space="0" w:color="auto"/>
        <w:left w:val="none" w:sz="0" w:space="0" w:color="auto"/>
        <w:bottom w:val="none" w:sz="0" w:space="0" w:color="auto"/>
        <w:right w:val="none" w:sz="0" w:space="0" w:color="auto"/>
      </w:divBdr>
      <w:divsChild>
        <w:div w:id="1810051297">
          <w:marLeft w:val="0"/>
          <w:marRight w:val="0"/>
          <w:marTop w:val="101"/>
          <w:marBottom w:val="101"/>
          <w:divBdr>
            <w:top w:val="none" w:sz="0" w:space="0" w:color="auto"/>
            <w:left w:val="none" w:sz="0" w:space="0" w:color="auto"/>
            <w:bottom w:val="none" w:sz="0" w:space="0" w:color="auto"/>
            <w:right w:val="none" w:sz="0" w:space="0" w:color="auto"/>
          </w:divBdr>
        </w:div>
        <w:div w:id="942760240">
          <w:marLeft w:val="0"/>
          <w:marRight w:val="0"/>
          <w:marTop w:val="0"/>
          <w:marBottom w:val="101"/>
          <w:divBdr>
            <w:top w:val="none" w:sz="0" w:space="0" w:color="auto"/>
            <w:left w:val="none" w:sz="0" w:space="0" w:color="auto"/>
            <w:bottom w:val="none" w:sz="0" w:space="0" w:color="auto"/>
            <w:right w:val="none" w:sz="0" w:space="0" w:color="auto"/>
          </w:divBdr>
        </w:div>
      </w:divsChild>
    </w:div>
    <w:div w:id="492985964">
      <w:bodyDiv w:val="1"/>
      <w:marLeft w:val="0"/>
      <w:marRight w:val="0"/>
      <w:marTop w:val="0"/>
      <w:marBottom w:val="0"/>
      <w:divBdr>
        <w:top w:val="none" w:sz="0" w:space="0" w:color="auto"/>
        <w:left w:val="none" w:sz="0" w:space="0" w:color="auto"/>
        <w:bottom w:val="none" w:sz="0" w:space="0" w:color="auto"/>
        <w:right w:val="none" w:sz="0" w:space="0" w:color="auto"/>
      </w:divBdr>
      <w:divsChild>
        <w:div w:id="1128284433">
          <w:marLeft w:val="0"/>
          <w:marRight w:val="0"/>
          <w:marTop w:val="0"/>
          <w:marBottom w:val="80"/>
          <w:divBdr>
            <w:top w:val="none" w:sz="0" w:space="0" w:color="auto"/>
            <w:left w:val="none" w:sz="0" w:space="0" w:color="auto"/>
            <w:bottom w:val="none" w:sz="0" w:space="0" w:color="auto"/>
            <w:right w:val="none" w:sz="0" w:space="0" w:color="auto"/>
          </w:divBdr>
        </w:div>
        <w:div w:id="1413430854">
          <w:marLeft w:val="0"/>
          <w:marRight w:val="0"/>
          <w:marTop w:val="0"/>
          <w:marBottom w:val="80"/>
          <w:divBdr>
            <w:top w:val="none" w:sz="0" w:space="0" w:color="auto"/>
            <w:left w:val="none" w:sz="0" w:space="0" w:color="auto"/>
            <w:bottom w:val="none" w:sz="0" w:space="0" w:color="auto"/>
            <w:right w:val="none" w:sz="0" w:space="0" w:color="auto"/>
          </w:divBdr>
        </w:div>
      </w:divsChild>
    </w:div>
    <w:div w:id="493379523">
      <w:bodyDiv w:val="1"/>
      <w:marLeft w:val="0"/>
      <w:marRight w:val="0"/>
      <w:marTop w:val="0"/>
      <w:marBottom w:val="0"/>
      <w:divBdr>
        <w:top w:val="none" w:sz="0" w:space="0" w:color="auto"/>
        <w:left w:val="none" w:sz="0" w:space="0" w:color="auto"/>
        <w:bottom w:val="none" w:sz="0" w:space="0" w:color="auto"/>
        <w:right w:val="none" w:sz="0" w:space="0" w:color="auto"/>
      </w:divBdr>
    </w:div>
    <w:div w:id="497309659">
      <w:bodyDiv w:val="1"/>
      <w:marLeft w:val="0"/>
      <w:marRight w:val="0"/>
      <w:marTop w:val="0"/>
      <w:marBottom w:val="0"/>
      <w:divBdr>
        <w:top w:val="none" w:sz="0" w:space="0" w:color="auto"/>
        <w:left w:val="none" w:sz="0" w:space="0" w:color="auto"/>
        <w:bottom w:val="none" w:sz="0" w:space="0" w:color="auto"/>
        <w:right w:val="none" w:sz="0" w:space="0" w:color="auto"/>
      </w:divBdr>
    </w:div>
    <w:div w:id="501549949">
      <w:bodyDiv w:val="1"/>
      <w:marLeft w:val="0"/>
      <w:marRight w:val="0"/>
      <w:marTop w:val="0"/>
      <w:marBottom w:val="0"/>
      <w:divBdr>
        <w:top w:val="none" w:sz="0" w:space="0" w:color="auto"/>
        <w:left w:val="none" w:sz="0" w:space="0" w:color="auto"/>
        <w:bottom w:val="none" w:sz="0" w:space="0" w:color="auto"/>
        <w:right w:val="none" w:sz="0" w:space="0" w:color="auto"/>
      </w:divBdr>
    </w:div>
    <w:div w:id="507334430">
      <w:bodyDiv w:val="1"/>
      <w:marLeft w:val="0"/>
      <w:marRight w:val="0"/>
      <w:marTop w:val="0"/>
      <w:marBottom w:val="0"/>
      <w:divBdr>
        <w:top w:val="none" w:sz="0" w:space="0" w:color="auto"/>
        <w:left w:val="none" w:sz="0" w:space="0" w:color="auto"/>
        <w:bottom w:val="none" w:sz="0" w:space="0" w:color="auto"/>
        <w:right w:val="none" w:sz="0" w:space="0" w:color="auto"/>
      </w:divBdr>
    </w:div>
    <w:div w:id="509104281">
      <w:bodyDiv w:val="1"/>
      <w:marLeft w:val="0"/>
      <w:marRight w:val="0"/>
      <w:marTop w:val="0"/>
      <w:marBottom w:val="0"/>
      <w:divBdr>
        <w:top w:val="none" w:sz="0" w:space="0" w:color="auto"/>
        <w:left w:val="none" w:sz="0" w:space="0" w:color="auto"/>
        <w:bottom w:val="none" w:sz="0" w:space="0" w:color="auto"/>
        <w:right w:val="none" w:sz="0" w:space="0" w:color="auto"/>
      </w:divBdr>
    </w:div>
    <w:div w:id="531571293">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43450880">
      <w:bodyDiv w:val="1"/>
      <w:marLeft w:val="0"/>
      <w:marRight w:val="0"/>
      <w:marTop w:val="0"/>
      <w:marBottom w:val="0"/>
      <w:divBdr>
        <w:top w:val="none" w:sz="0" w:space="0" w:color="auto"/>
        <w:left w:val="none" w:sz="0" w:space="0" w:color="auto"/>
        <w:bottom w:val="none" w:sz="0" w:space="0" w:color="auto"/>
        <w:right w:val="none" w:sz="0" w:space="0" w:color="auto"/>
      </w:divBdr>
    </w:div>
    <w:div w:id="571046360">
      <w:bodyDiv w:val="1"/>
      <w:marLeft w:val="0"/>
      <w:marRight w:val="0"/>
      <w:marTop w:val="0"/>
      <w:marBottom w:val="0"/>
      <w:divBdr>
        <w:top w:val="none" w:sz="0" w:space="0" w:color="auto"/>
        <w:left w:val="none" w:sz="0" w:space="0" w:color="auto"/>
        <w:bottom w:val="none" w:sz="0" w:space="0" w:color="auto"/>
        <w:right w:val="none" w:sz="0" w:space="0" w:color="auto"/>
      </w:divBdr>
    </w:div>
    <w:div w:id="575361357">
      <w:bodyDiv w:val="1"/>
      <w:marLeft w:val="0"/>
      <w:marRight w:val="0"/>
      <w:marTop w:val="0"/>
      <w:marBottom w:val="0"/>
      <w:divBdr>
        <w:top w:val="none" w:sz="0" w:space="0" w:color="auto"/>
        <w:left w:val="none" w:sz="0" w:space="0" w:color="auto"/>
        <w:bottom w:val="none" w:sz="0" w:space="0" w:color="auto"/>
        <w:right w:val="none" w:sz="0" w:space="0" w:color="auto"/>
      </w:divBdr>
    </w:div>
    <w:div w:id="600458259">
      <w:bodyDiv w:val="1"/>
      <w:marLeft w:val="0"/>
      <w:marRight w:val="0"/>
      <w:marTop w:val="0"/>
      <w:marBottom w:val="0"/>
      <w:divBdr>
        <w:top w:val="none" w:sz="0" w:space="0" w:color="auto"/>
        <w:left w:val="none" w:sz="0" w:space="0" w:color="auto"/>
        <w:bottom w:val="none" w:sz="0" w:space="0" w:color="auto"/>
        <w:right w:val="none" w:sz="0" w:space="0" w:color="auto"/>
      </w:divBdr>
      <w:divsChild>
        <w:div w:id="1347563544">
          <w:marLeft w:val="0"/>
          <w:marRight w:val="0"/>
          <w:marTop w:val="0"/>
          <w:marBottom w:val="101"/>
          <w:divBdr>
            <w:top w:val="none" w:sz="0" w:space="0" w:color="auto"/>
            <w:left w:val="none" w:sz="0" w:space="0" w:color="auto"/>
            <w:bottom w:val="none" w:sz="0" w:space="0" w:color="auto"/>
            <w:right w:val="none" w:sz="0" w:space="0" w:color="auto"/>
          </w:divBdr>
        </w:div>
        <w:div w:id="747001286">
          <w:marLeft w:val="0"/>
          <w:marRight w:val="0"/>
          <w:marTop w:val="0"/>
          <w:marBottom w:val="101"/>
          <w:divBdr>
            <w:top w:val="none" w:sz="0" w:space="0" w:color="auto"/>
            <w:left w:val="none" w:sz="0" w:space="0" w:color="auto"/>
            <w:bottom w:val="none" w:sz="0" w:space="0" w:color="auto"/>
            <w:right w:val="none" w:sz="0" w:space="0" w:color="auto"/>
          </w:divBdr>
        </w:div>
      </w:divsChild>
    </w:div>
    <w:div w:id="643238841">
      <w:bodyDiv w:val="1"/>
      <w:marLeft w:val="0"/>
      <w:marRight w:val="0"/>
      <w:marTop w:val="0"/>
      <w:marBottom w:val="0"/>
      <w:divBdr>
        <w:top w:val="none" w:sz="0" w:space="0" w:color="auto"/>
        <w:left w:val="none" w:sz="0" w:space="0" w:color="auto"/>
        <w:bottom w:val="none" w:sz="0" w:space="0" w:color="auto"/>
        <w:right w:val="none" w:sz="0" w:space="0" w:color="auto"/>
      </w:divBdr>
    </w:div>
    <w:div w:id="643389173">
      <w:bodyDiv w:val="1"/>
      <w:marLeft w:val="0"/>
      <w:marRight w:val="0"/>
      <w:marTop w:val="0"/>
      <w:marBottom w:val="0"/>
      <w:divBdr>
        <w:top w:val="none" w:sz="0" w:space="0" w:color="auto"/>
        <w:left w:val="none" w:sz="0" w:space="0" w:color="auto"/>
        <w:bottom w:val="none" w:sz="0" w:space="0" w:color="auto"/>
        <w:right w:val="none" w:sz="0" w:space="0" w:color="auto"/>
      </w:divBdr>
    </w:div>
    <w:div w:id="684134382">
      <w:bodyDiv w:val="1"/>
      <w:marLeft w:val="0"/>
      <w:marRight w:val="0"/>
      <w:marTop w:val="0"/>
      <w:marBottom w:val="0"/>
      <w:divBdr>
        <w:top w:val="none" w:sz="0" w:space="0" w:color="auto"/>
        <w:left w:val="none" w:sz="0" w:space="0" w:color="auto"/>
        <w:bottom w:val="none" w:sz="0" w:space="0" w:color="auto"/>
        <w:right w:val="none" w:sz="0" w:space="0" w:color="auto"/>
      </w:divBdr>
    </w:div>
    <w:div w:id="700863429">
      <w:bodyDiv w:val="1"/>
      <w:marLeft w:val="0"/>
      <w:marRight w:val="0"/>
      <w:marTop w:val="0"/>
      <w:marBottom w:val="0"/>
      <w:divBdr>
        <w:top w:val="none" w:sz="0" w:space="0" w:color="auto"/>
        <w:left w:val="none" w:sz="0" w:space="0" w:color="auto"/>
        <w:bottom w:val="none" w:sz="0" w:space="0" w:color="auto"/>
        <w:right w:val="none" w:sz="0" w:space="0" w:color="auto"/>
      </w:divBdr>
    </w:div>
    <w:div w:id="725683204">
      <w:bodyDiv w:val="1"/>
      <w:marLeft w:val="0"/>
      <w:marRight w:val="0"/>
      <w:marTop w:val="0"/>
      <w:marBottom w:val="0"/>
      <w:divBdr>
        <w:top w:val="none" w:sz="0" w:space="0" w:color="auto"/>
        <w:left w:val="none" w:sz="0" w:space="0" w:color="auto"/>
        <w:bottom w:val="none" w:sz="0" w:space="0" w:color="auto"/>
        <w:right w:val="none" w:sz="0" w:space="0" w:color="auto"/>
      </w:divBdr>
      <w:divsChild>
        <w:div w:id="199131127">
          <w:marLeft w:val="0"/>
          <w:marRight w:val="0"/>
          <w:marTop w:val="101"/>
          <w:marBottom w:val="101"/>
          <w:divBdr>
            <w:top w:val="none" w:sz="0" w:space="0" w:color="auto"/>
            <w:left w:val="none" w:sz="0" w:space="0" w:color="auto"/>
            <w:bottom w:val="none" w:sz="0" w:space="0" w:color="auto"/>
            <w:right w:val="none" w:sz="0" w:space="0" w:color="auto"/>
          </w:divBdr>
        </w:div>
        <w:div w:id="1162163008">
          <w:marLeft w:val="0"/>
          <w:marRight w:val="0"/>
          <w:marTop w:val="0"/>
          <w:marBottom w:val="101"/>
          <w:divBdr>
            <w:top w:val="none" w:sz="0" w:space="0" w:color="auto"/>
            <w:left w:val="none" w:sz="0" w:space="0" w:color="auto"/>
            <w:bottom w:val="none" w:sz="0" w:space="0" w:color="auto"/>
            <w:right w:val="none" w:sz="0" w:space="0" w:color="auto"/>
          </w:divBdr>
        </w:div>
      </w:divsChild>
    </w:div>
    <w:div w:id="731731974">
      <w:bodyDiv w:val="1"/>
      <w:marLeft w:val="0"/>
      <w:marRight w:val="0"/>
      <w:marTop w:val="0"/>
      <w:marBottom w:val="0"/>
      <w:divBdr>
        <w:top w:val="none" w:sz="0" w:space="0" w:color="auto"/>
        <w:left w:val="none" w:sz="0" w:space="0" w:color="auto"/>
        <w:bottom w:val="none" w:sz="0" w:space="0" w:color="auto"/>
        <w:right w:val="none" w:sz="0" w:space="0" w:color="auto"/>
      </w:divBdr>
    </w:div>
    <w:div w:id="772673570">
      <w:bodyDiv w:val="1"/>
      <w:marLeft w:val="0"/>
      <w:marRight w:val="0"/>
      <w:marTop w:val="0"/>
      <w:marBottom w:val="0"/>
      <w:divBdr>
        <w:top w:val="none" w:sz="0" w:space="0" w:color="auto"/>
        <w:left w:val="none" w:sz="0" w:space="0" w:color="auto"/>
        <w:bottom w:val="none" w:sz="0" w:space="0" w:color="auto"/>
        <w:right w:val="none" w:sz="0" w:space="0" w:color="auto"/>
      </w:divBdr>
    </w:div>
    <w:div w:id="773325733">
      <w:bodyDiv w:val="1"/>
      <w:marLeft w:val="0"/>
      <w:marRight w:val="0"/>
      <w:marTop w:val="0"/>
      <w:marBottom w:val="0"/>
      <w:divBdr>
        <w:top w:val="none" w:sz="0" w:space="0" w:color="auto"/>
        <w:left w:val="none" w:sz="0" w:space="0" w:color="auto"/>
        <w:bottom w:val="none" w:sz="0" w:space="0" w:color="auto"/>
        <w:right w:val="none" w:sz="0" w:space="0" w:color="auto"/>
      </w:divBdr>
    </w:div>
    <w:div w:id="776870043">
      <w:bodyDiv w:val="1"/>
      <w:marLeft w:val="0"/>
      <w:marRight w:val="0"/>
      <w:marTop w:val="0"/>
      <w:marBottom w:val="0"/>
      <w:divBdr>
        <w:top w:val="none" w:sz="0" w:space="0" w:color="auto"/>
        <w:left w:val="none" w:sz="0" w:space="0" w:color="auto"/>
        <w:bottom w:val="none" w:sz="0" w:space="0" w:color="auto"/>
        <w:right w:val="none" w:sz="0" w:space="0" w:color="auto"/>
      </w:divBdr>
      <w:divsChild>
        <w:div w:id="421025469">
          <w:marLeft w:val="0"/>
          <w:marRight w:val="0"/>
          <w:marTop w:val="0"/>
          <w:marBottom w:val="101"/>
          <w:divBdr>
            <w:top w:val="none" w:sz="0" w:space="0" w:color="auto"/>
            <w:left w:val="none" w:sz="0" w:space="0" w:color="auto"/>
            <w:bottom w:val="none" w:sz="0" w:space="0" w:color="auto"/>
            <w:right w:val="none" w:sz="0" w:space="0" w:color="auto"/>
          </w:divBdr>
        </w:div>
        <w:div w:id="980231631">
          <w:marLeft w:val="720"/>
          <w:marRight w:val="0"/>
          <w:marTop w:val="0"/>
          <w:marBottom w:val="101"/>
          <w:divBdr>
            <w:top w:val="none" w:sz="0" w:space="0" w:color="auto"/>
            <w:left w:val="none" w:sz="0" w:space="0" w:color="auto"/>
            <w:bottom w:val="none" w:sz="0" w:space="0" w:color="auto"/>
            <w:right w:val="none" w:sz="0" w:space="0" w:color="auto"/>
          </w:divBdr>
        </w:div>
        <w:div w:id="2087147849">
          <w:marLeft w:val="1080"/>
          <w:marRight w:val="0"/>
          <w:marTop w:val="0"/>
          <w:marBottom w:val="101"/>
          <w:divBdr>
            <w:top w:val="none" w:sz="0" w:space="0" w:color="auto"/>
            <w:left w:val="none" w:sz="0" w:space="0" w:color="auto"/>
            <w:bottom w:val="none" w:sz="0" w:space="0" w:color="auto"/>
            <w:right w:val="none" w:sz="0" w:space="0" w:color="auto"/>
          </w:divBdr>
        </w:div>
        <w:div w:id="1776947468">
          <w:marLeft w:val="1080"/>
          <w:marRight w:val="0"/>
          <w:marTop w:val="0"/>
          <w:marBottom w:val="101"/>
          <w:divBdr>
            <w:top w:val="none" w:sz="0" w:space="0" w:color="auto"/>
            <w:left w:val="none" w:sz="0" w:space="0" w:color="auto"/>
            <w:bottom w:val="none" w:sz="0" w:space="0" w:color="auto"/>
            <w:right w:val="none" w:sz="0" w:space="0" w:color="auto"/>
          </w:divBdr>
        </w:div>
        <w:div w:id="119230674">
          <w:marLeft w:val="1080"/>
          <w:marRight w:val="0"/>
          <w:marTop w:val="0"/>
          <w:marBottom w:val="101"/>
          <w:divBdr>
            <w:top w:val="none" w:sz="0" w:space="0" w:color="auto"/>
            <w:left w:val="none" w:sz="0" w:space="0" w:color="auto"/>
            <w:bottom w:val="none" w:sz="0" w:space="0" w:color="auto"/>
            <w:right w:val="none" w:sz="0" w:space="0" w:color="auto"/>
          </w:divBdr>
        </w:div>
        <w:div w:id="727996517">
          <w:marLeft w:val="720"/>
          <w:marRight w:val="0"/>
          <w:marTop w:val="0"/>
          <w:marBottom w:val="101"/>
          <w:divBdr>
            <w:top w:val="none" w:sz="0" w:space="0" w:color="auto"/>
            <w:left w:val="none" w:sz="0" w:space="0" w:color="auto"/>
            <w:bottom w:val="none" w:sz="0" w:space="0" w:color="auto"/>
            <w:right w:val="none" w:sz="0" w:space="0" w:color="auto"/>
          </w:divBdr>
        </w:div>
      </w:divsChild>
    </w:div>
    <w:div w:id="782000061">
      <w:bodyDiv w:val="1"/>
      <w:marLeft w:val="0"/>
      <w:marRight w:val="0"/>
      <w:marTop w:val="0"/>
      <w:marBottom w:val="0"/>
      <w:divBdr>
        <w:top w:val="none" w:sz="0" w:space="0" w:color="auto"/>
        <w:left w:val="none" w:sz="0" w:space="0" w:color="auto"/>
        <w:bottom w:val="none" w:sz="0" w:space="0" w:color="auto"/>
        <w:right w:val="none" w:sz="0" w:space="0" w:color="auto"/>
      </w:divBdr>
      <w:divsChild>
        <w:div w:id="1944609492">
          <w:marLeft w:val="0"/>
          <w:marRight w:val="0"/>
          <w:marTop w:val="101"/>
          <w:marBottom w:val="101"/>
          <w:divBdr>
            <w:top w:val="none" w:sz="0" w:space="0" w:color="auto"/>
            <w:left w:val="none" w:sz="0" w:space="0" w:color="auto"/>
            <w:bottom w:val="none" w:sz="0" w:space="0" w:color="auto"/>
            <w:right w:val="none" w:sz="0" w:space="0" w:color="auto"/>
          </w:divBdr>
        </w:div>
        <w:div w:id="364795590">
          <w:marLeft w:val="0"/>
          <w:marRight w:val="0"/>
          <w:marTop w:val="0"/>
          <w:marBottom w:val="101"/>
          <w:divBdr>
            <w:top w:val="none" w:sz="0" w:space="0" w:color="auto"/>
            <w:left w:val="none" w:sz="0" w:space="0" w:color="auto"/>
            <w:bottom w:val="none" w:sz="0" w:space="0" w:color="auto"/>
            <w:right w:val="none" w:sz="0" w:space="0" w:color="auto"/>
          </w:divBdr>
        </w:div>
        <w:div w:id="32004030">
          <w:marLeft w:val="0"/>
          <w:marRight w:val="0"/>
          <w:marTop w:val="0"/>
          <w:marBottom w:val="101"/>
          <w:divBdr>
            <w:top w:val="none" w:sz="0" w:space="0" w:color="auto"/>
            <w:left w:val="none" w:sz="0" w:space="0" w:color="auto"/>
            <w:bottom w:val="none" w:sz="0" w:space="0" w:color="auto"/>
            <w:right w:val="none" w:sz="0" w:space="0" w:color="auto"/>
          </w:divBdr>
        </w:div>
      </w:divsChild>
    </w:div>
    <w:div w:id="795492618">
      <w:bodyDiv w:val="1"/>
      <w:marLeft w:val="0"/>
      <w:marRight w:val="0"/>
      <w:marTop w:val="0"/>
      <w:marBottom w:val="0"/>
      <w:divBdr>
        <w:top w:val="none" w:sz="0" w:space="0" w:color="auto"/>
        <w:left w:val="none" w:sz="0" w:space="0" w:color="auto"/>
        <w:bottom w:val="none" w:sz="0" w:space="0" w:color="auto"/>
        <w:right w:val="none" w:sz="0" w:space="0" w:color="auto"/>
      </w:divBdr>
    </w:div>
    <w:div w:id="803157572">
      <w:bodyDiv w:val="1"/>
      <w:marLeft w:val="0"/>
      <w:marRight w:val="0"/>
      <w:marTop w:val="0"/>
      <w:marBottom w:val="0"/>
      <w:divBdr>
        <w:top w:val="none" w:sz="0" w:space="0" w:color="auto"/>
        <w:left w:val="none" w:sz="0" w:space="0" w:color="auto"/>
        <w:bottom w:val="none" w:sz="0" w:space="0" w:color="auto"/>
        <w:right w:val="none" w:sz="0" w:space="0" w:color="auto"/>
      </w:divBdr>
    </w:div>
    <w:div w:id="815414635">
      <w:bodyDiv w:val="1"/>
      <w:marLeft w:val="0"/>
      <w:marRight w:val="0"/>
      <w:marTop w:val="0"/>
      <w:marBottom w:val="0"/>
      <w:divBdr>
        <w:top w:val="none" w:sz="0" w:space="0" w:color="auto"/>
        <w:left w:val="none" w:sz="0" w:space="0" w:color="auto"/>
        <w:bottom w:val="none" w:sz="0" w:space="0" w:color="auto"/>
        <w:right w:val="none" w:sz="0" w:space="0" w:color="auto"/>
      </w:divBdr>
    </w:div>
    <w:div w:id="828718231">
      <w:bodyDiv w:val="1"/>
      <w:marLeft w:val="0"/>
      <w:marRight w:val="0"/>
      <w:marTop w:val="0"/>
      <w:marBottom w:val="0"/>
      <w:divBdr>
        <w:top w:val="none" w:sz="0" w:space="0" w:color="auto"/>
        <w:left w:val="none" w:sz="0" w:space="0" w:color="auto"/>
        <w:bottom w:val="none" w:sz="0" w:space="0" w:color="auto"/>
        <w:right w:val="none" w:sz="0" w:space="0" w:color="auto"/>
      </w:divBdr>
    </w:div>
    <w:div w:id="852377423">
      <w:bodyDiv w:val="1"/>
      <w:marLeft w:val="0"/>
      <w:marRight w:val="0"/>
      <w:marTop w:val="0"/>
      <w:marBottom w:val="0"/>
      <w:divBdr>
        <w:top w:val="none" w:sz="0" w:space="0" w:color="auto"/>
        <w:left w:val="none" w:sz="0" w:space="0" w:color="auto"/>
        <w:bottom w:val="none" w:sz="0" w:space="0" w:color="auto"/>
        <w:right w:val="none" w:sz="0" w:space="0" w:color="auto"/>
      </w:divBdr>
      <w:divsChild>
        <w:div w:id="879393794">
          <w:marLeft w:val="0"/>
          <w:marRight w:val="0"/>
          <w:marTop w:val="0"/>
          <w:marBottom w:val="101"/>
          <w:divBdr>
            <w:top w:val="none" w:sz="0" w:space="0" w:color="auto"/>
            <w:left w:val="none" w:sz="0" w:space="0" w:color="auto"/>
            <w:bottom w:val="none" w:sz="0" w:space="0" w:color="auto"/>
            <w:right w:val="none" w:sz="0" w:space="0" w:color="auto"/>
          </w:divBdr>
        </w:div>
        <w:div w:id="1947031696">
          <w:marLeft w:val="0"/>
          <w:marRight w:val="0"/>
          <w:marTop w:val="0"/>
          <w:marBottom w:val="101"/>
          <w:divBdr>
            <w:top w:val="none" w:sz="0" w:space="0" w:color="auto"/>
            <w:left w:val="none" w:sz="0" w:space="0" w:color="auto"/>
            <w:bottom w:val="none" w:sz="0" w:space="0" w:color="auto"/>
            <w:right w:val="none" w:sz="0" w:space="0" w:color="auto"/>
          </w:divBdr>
        </w:div>
      </w:divsChild>
    </w:div>
    <w:div w:id="855122009">
      <w:bodyDiv w:val="1"/>
      <w:marLeft w:val="0"/>
      <w:marRight w:val="0"/>
      <w:marTop w:val="0"/>
      <w:marBottom w:val="0"/>
      <w:divBdr>
        <w:top w:val="none" w:sz="0" w:space="0" w:color="auto"/>
        <w:left w:val="none" w:sz="0" w:space="0" w:color="auto"/>
        <w:bottom w:val="none" w:sz="0" w:space="0" w:color="auto"/>
        <w:right w:val="none" w:sz="0" w:space="0" w:color="auto"/>
      </w:divBdr>
    </w:div>
    <w:div w:id="858272429">
      <w:bodyDiv w:val="1"/>
      <w:marLeft w:val="0"/>
      <w:marRight w:val="0"/>
      <w:marTop w:val="0"/>
      <w:marBottom w:val="0"/>
      <w:divBdr>
        <w:top w:val="none" w:sz="0" w:space="0" w:color="auto"/>
        <w:left w:val="none" w:sz="0" w:space="0" w:color="auto"/>
        <w:bottom w:val="none" w:sz="0" w:space="0" w:color="auto"/>
        <w:right w:val="none" w:sz="0" w:space="0" w:color="auto"/>
      </w:divBdr>
    </w:div>
    <w:div w:id="901136712">
      <w:bodyDiv w:val="1"/>
      <w:marLeft w:val="0"/>
      <w:marRight w:val="0"/>
      <w:marTop w:val="0"/>
      <w:marBottom w:val="0"/>
      <w:divBdr>
        <w:top w:val="none" w:sz="0" w:space="0" w:color="auto"/>
        <w:left w:val="none" w:sz="0" w:space="0" w:color="auto"/>
        <w:bottom w:val="none" w:sz="0" w:space="0" w:color="auto"/>
        <w:right w:val="none" w:sz="0" w:space="0" w:color="auto"/>
      </w:divBdr>
    </w:div>
    <w:div w:id="903489148">
      <w:bodyDiv w:val="1"/>
      <w:marLeft w:val="0"/>
      <w:marRight w:val="0"/>
      <w:marTop w:val="0"/>
      <w:marBottom w:val="0"/>
      <w:divBdr>
        <w:top w:val="none" w:sz="0" w:space="0" w:color="auto"/>
        <w:left w:val="none" w:sz="0" w:space="0" w:color="auto"/>
        <w:bottom w:val="none" w:sz="0" w:space="0" w:color="auto"/>
        <w:right w:val="none" w:sz="0" w:space="0" w:color="auto"/>
      </w:divBdr>
    </w:div>
    <w:div w:id="929966684">
      <w:bodyDiv w:val="1"/>
      <w:marLeft w:val="0"/>
      <w:marRight w:val="0"/>
      <w:marTop w:val="0"/>
      <w:marBottom w:val="0"/>
      <w:divBdr>
        <w:top w:val="none" w:sz="0" w:space="0" w:color="auto"/>
        <w:left w:val="none" w:sz="0" w:space="0" w:color="auto"/>
        <w:bottom w:val="none" w:sz="0" w:space="0" w:color="auto"/>
        <w:right w:val="none" w:sz="0" w:space="0" w:color="auto"/>
      </w:divBdr>
    </w:div>
    <w:div w:id="947081800">
      <w:bodyDiv w:val="1"/>
      <w:marLeft w:val="0"/>
      <w:marRight w:val="0"/>
      <w:marTop w:val="0"/>
      <w:marBottom w:val="0"/>
      <w:divBdr>
        <w:top w:val="none" w:sz="0" w:space="0" w:color="auto"/>
        <w:left w:val="none" w:sz="0" w:space="0" w:color="auto"/>
        <w:bottom w:val="none" w:sz="0" w:space="0" w:color="auto"/>
        <w:right w:val="none" w:sz="0" w:space="0" w:color="auto"/>
      </w:divBdr>
    </w:div>
    <w:div w:id="970288176">
      <w:bodyDiv w:val="1"/>
      <w:marLeft w:val="0"/>
      <w:marRight w:val="0"/>
      <w:marTop w:val="0"/>
      <w:marBottom w:val="0"/>
      <w:divBdr>
        <w:top w:val="none" w:sz="0" w:space="0" w:color="auto"/>
        <w:left w:val="none" w:sz="0" w:space="0" w:color="auto"/>
        <w:bottom w:val="none" w:sz="0" w:space="0" w:color="auto"/>
        <w:right w:val="none" w:sz="0" w:space="0" w:color="auto"/>
      </w:divBdr>
    </w:div>
    <w:div w:id="993677508">
      <w:bodyDiv w:val="1"/>
      <w:marLeft w:val="0"/>
      <w:marRight w:val="0"/>
      <w:marTop w:val="0"/>
      <w:marBottom w:val="0"/>
      <w:divBdr>
        <w:top w:val="none" w:sz="0" w:space="0" w:color="auto"/>
        <w:left w:val="none" w:sz="0" w:space="0" w:color="auto"/>
        <w:bottom w:val="none" w:sz="0" w:space="0" w:color="auto"/>
        <w:right w:val="none" w:sz="0" w:space="0" w:color="auto"/>
      </w:divBdr>
    </w:div>
    <w:div w:id="1004673409">
      <w:bodyDiv w:val="1"/>
      <w:marLeft w:val="0"/>
      <w:marRight w:val="0"/>
      <w:marTop w:val="0"/>
      <w:marBottom w:val="0"/>
      <w:divBdr>
        <w:top w:val="none" w:sz="0" w:space="0" w:color="auto"/>
        <w:left w:val="none" w:sz="0" w:space="0" w:color="auto"/>
        <w:bottom w:val="none" w:sz="0" w:space="0" w:color="auto"/>
        <w:right w:val="none" w:sz="0" w:space="0" w:color="auto"/>
      </w:divBdr>
    </w:div>
    <w:div w:id="1016154259">
      <w:bodyDiv w:val="1"/>
      <w:marLeft w:val="0"/>
      <w:marRight w:val="0"/>
      <w:marTop w:val="0"/>
      <w:marBottom w:val="0"/>
      <w:divBdr>
        <w:top w:val="none" w:sz="0" w:space="0" w:color="auto"/>
        <w:left w:val="none" w:sz="0" w:space="0" w:color="auto"/>
        <w:bottom w:val="none" w:sz="0" w:space="0" w:color="auto"/>
        <w:right w:val="none" w:sz="0" w:space="0" w:color="auto"/>
      </w:divBdr>
      <w:divsChild>
        <w:div w:id="1335953171">
          <w:marLeft w:val="0"/>
          <w:marRight w:val="0"/>
          <w:marTop w:val="0"/>
          <w:marBottom w:val="50"/>
          <w:divBdr>
            <w:top w:val="none" w:sz="0" w:space="0" w:color="auto"/>
            <w:left w:val="none" w:sz="0" w:space="0" w:color="auto"/>
            <w:bottom w:val="none" w:sz="0" w:space="0" w:color="auto"/>
            <w:right w:val="none" w:sz="0" w:space="0" w:color="auto"/>
          </w:divBdr>
        </w:div>
        <w:div w:id="1882667743">
          <w:marLeft w:val="720"/>
          <w:marRight w:val="0"/>
          <w:marTop w:val="0"/>
          <w:marBottom w:val="50"/>
          <w:divBdr>
            <w:top w:val="none" w:sz="0" w:space="0" w:color="auto"/>
            <w:left w:val="none" w:sz="0" w:space="0" w:color="auto"/>
            <w:bottom w:val="none" w:sz="0" w:space="0" w:color="auto"/>
            <w:right w:val="none" w:sz="0" w:space="0" w:color="auto"/>
          </w:divBdr>
        </w:div>
        <w:div w:id="516819335">
          <w:marLeft w:val="720"/>
          <w:marRight w:val="0"/>
          <w:marTop w:val="0"/>
          <w:marBottom w:val="50"/>
          <w:divBdr>
            <w:top w:val="none" w:sz="0" w:space="0" w:color="auto"/>
            <w:left w:val="none" w:sz="0" w:space="0" w:color="auto"/>
            <w:bottom w:val="none" w:sz="0" w:space="0" w:color="auto"/>
            <w:right w:val="none" w:sz="0" w:space="0" w:color="auto"/>
          </w:divBdr>
        </w:div>
        <w:div w:id="404032607">
          <w:marLeft w:val="720"/>
          <w:marRight w:val="0"/>
          <w:marTop w:val="0"/>
          <w:marBottom w:val="50"/>
          <w:divBdr>
            <w:top w:val="none" w:sz="0" w:space="0" w:color="auto"/>
            <w:left w:val="none" w:sz="0" w:space="0" w:color="auto"/>
            <w:bottom w:val="none" w:sz="0" w:space="0" w:color="auto"/>
            <w:right w:val="none" w:sz="0" w:space="0" w:color="auto"/>
          </w:divBdr>
        </w:div>
        <w:div w:id="523591445">
          <w:marLeft w:val="0"/>
          <w:marRight w:val="0"/>
          <w:marTop w:val="0"/>
          <w:marBottom w:val="50"/>
          <w:divBdr>
            <w:top w:val="none" w:sz="0" w:space="0" w:color="auto"/>
            <w:left w:val="none" w:sz="0" w:space="0" w:color="auto"/>
            <w:bottom w:val="none" w:sz="0" w:space="0" w:color="auto"/>
            <w:right w:val="none" w:sz="0" w:space="0" w:color="auto"/>
          </w:divBdr>
        </w:div>
      </w:divsChild>
    </w:div>
    <w:div w:id="1016889338">
      <w:bodyDiv w:val="1"/>
      <w:marLeft w:val="0"/>
      <w:marRight w:val="0"/>
      <w:marTop w:val="0"/>
      <w:marBottom w:val="0"/>
      <w:divBdr>
        <w:top w:val="none" w:sz="0" w:space="0" w:color="auto"/>
        <w:left w:val="none" w:sz="0" w:space="0" w:color="auto"/>
        <w:bottom w:val="none" w:sz="0" w:space="0" w:color="auto"/>
        <w:right w:val="none" w:sz="0" w:space="0" w:color="auto"/>
      </w:divBdr>
    </w:div>
    <w:div w:id="1019699403">
      <w:bodyDiv w:val="1"/>
      <w:marLeft w:val="0"/>
      <w:marRight w:val="0"/>
      <w:marTop w:val="0"/>
      <w:marBottom w:val="0"/>
      <w:divBdr>
        <w:top w:val="none" w:sz="0" w:space="0" w:color="auto"/>
        <w:left w:val="none" w:sz="0" w:space="0" w:color="auto"/>
        <w:bottom w:val="none" w:sz="0" w:space="0" w:color="auto"/>
        <w:right w:val="none" w:sz="0" w:space="0" w:color="auto"/>
      </w:divBdr>
      <w:divsChild>
        <w:div w:id="190610206">
          <w:marLeft w:val="0"/>
          <w:marRight w:val="0"/>
          <w:marTop w:val="0"/>
          <w:marBottom w:val="101"/>
          <w:divBdr>
            <w:top w:val="none" w:sz="0" w:space="0" w:color="auto"/>
            <w:left w:val="none" w:sz="0" w:space="0" w:color="auto"/>
            <w:bottom w:val="none" w:sz="0" w:space="0" w:color="auto"/>
            <w:right w:val="none" w:sz="0" w:space="0" w:color="auto"/>
          </w:divBdr>
        </w:div>
        <w:div w:id="1275402597">
          <w:marLeft w:val="0"/>
          <w:marRight w:val="0"/>
          <w:marTop w:val="0"/>
          <w:marBottom w:val="101"/>
          <w:divBdr>
            <w:top w:val="none" w:sz="0" w:space="0" w:color="auto"/>
            <w:left w:val="none" w:sz="0" w:space="0" w:color="auto"/>
            <w:bottom w:val="none" w:sz="0" w:space="0" w:color="auto"/>
            <w:right w:val="none" w:sz="0" w:space="0" w:color="auto"/>
          </w:divBdr>
        </w:div>
      </w:divsChild>
    </w:div>
    <w:div w:id="1033112121">
      <w:bodyDiv w:val="1"/>
      <w:marLeft w:val="0"/>
      <w:marRight w:val="0"/>
      <w:marTop w:val="0"/>
      <w:marBottom w:val="0"/>
      <w:divBdr>
        <w:top w:val="none" w:sz="0" w:space="0" w:color="auto"/>
        <w:left w:val="none" w:sz="0" w:space="0" w:color="auto"/>
        <w:bottom w:val="none" w:sz="0" w:space="0" w:color="auto"/>
        <w:right w:val="none" w:sz="0" w:space="0" w:color="auto"/>
      </w:divBdr>
      <w:divsChild>
        <w:div w:id="2087611881">
          <w:marLeft w:val="0"/>
          <w:marRight w:val="0"/>
          <w:marTop w:val="0"/>
          <w:marBottom w:val="101"/>
          <w:divBdr>
            <w:top w:val="none" w:sz="0" w:space="0" w:color="auto"/>
            <w:left w:val="none" w:sz="0" w:space="0" w:color="auto"/>
            <w:bottom w:val="none" w:sz="0" w:space="0" w:color="auto"/>
            <w:right w:val="none" w:sz="0" w:space="0" w:color="auto"/>
          </w:divBdr>
        </w:div>
        <w:div w:id="900675079">
          <w:marLeft w:val="0"/>
          <w:marRight w:val="0"/>
          <w:marTop w:val="0"/>
          <w:marBottom w:val="101"/>
          <w:divBdr>
            <w:top w:val="none" w:sz="0" w:space="0" w:color="auto"/>
            <w:left w:val="none" w:sz="0" w:space="0" w:color="auto"/>
            <w:bottom w:val="none" w:sz="0" w:space="0" w:color="auto"/>
            <w:right w:val="none" w:sz="0" w:space="0" w:color="auto"/>
          </w:divBdr>
        </w:div>
        <w:div w:id="957100381">
          <w:marLeft w:val="0"/>
          <w:marRight w:val="0"/>
          <w:marTop w:val="0"/>
          <w:marBottom w:val="101"/>
          <w:divBdr>
            <w:top w:val="none" w:sz="0" w:space="0" w:color="auto"/>
            <w:left w:val="none" w:sz="0" w:space="0" w:color="auto"/>
            <w:bottom w:val="none" w:sz="0" w:space="0" w:color="auto"/>
            <w:right w:val="none" w:sz="0" w:space="0" w:color="auto"/>
          </w:divBdr>
        </w:div>
        <w:div w:id="1275480461">
          <w:marLeft w:val="0"/>
          <w:marRight w:val="0"/>
          <w:marTop w:val="0"/>
          <w:marBottom w:val="101"/>
          <w:divBdr>
            <w:top w:val="none" w:sz="0" w:space="0" w:color="auto"/>
            <w:left w:val="none" w:sz="0" w:space="0" w:color="auto"/>
            <w:bottom w:val="none" w:sz="0" w:space="0" w:color="auto"/>
            <w:right w:val="none" w:sz="0" w:space="0" w:color="auto"/>
          </w:divBdr>
        </w:div>
      </w:divsChild>
    </w:div>
    <w:div w:id="1048990704">
      <w:bodyDiv w:val="1"/>
      <w:marLeft w:val="0"/>
      <w:marRight w:val="0"/>
      <w:marTop w:val="0"/>
      <w:marBottom w:val="0"/>
      <w:divBdr>
        <w:top w:val="none" w:sz="0" w:space="0" w:color="auto"/>
        <w:left w:val="none" w:sz="0" w:space="0" w:color="auto"/>
        <w:bottom w:val="none" w:sz="0" w:space="0" w:color="auto"/>
        <w:right w:val="none" w:sz="0" w:space="0" w:color="auto"/>
      </w:divBdr>
    </w:div>
    <w:div w:id="1054428403">
      <w:bodyDiv w:val="1"/>
      <w:marLeft w:val="0"/>
      <w:marRight w:val="0"/>
      <w:marTop w:val="0"/>
      <w:marBottom w:val="0"/>
      <w:divBdr>
        <w:top w:val="none" w:sz="0" w:space="0" w:color="auto"/>
        <w:left w:val="none" w:sz="0" w:space="0" w:color="auto"/>
        <w:bottom w:val="none" w:sz="0" w:space="0" w:color="auto"/>
        <w:right w:val="none" w:sz="0" w:space="0" w:color="auto"/>
      </w:divBdr>
    </w:div>
    <w:div w:id="1071083348">
      <w:bodyDiv w:val="1"/>
      <w:marLeft w:val="0"/>
      <w:marRight w:val="0"/>
      <w:marTop w:val="0"/>
      <w:marBottom w:val="0"/>
      <w:divBdr>
        <w:top w:val="none" w:sz="0" w:space="0" w:color="auto"/>
        <w:left w:val="none" w:sz="0" w:space="0" w:color="auto"/>
        <w:bottom w:val="none" w:sz="0" w:space="0" w:color="auto"/>
        <w:right w:val="none" w:sz="0" w:space="0" w:color="auto"/>
      </w:divBdr>
    </w:div>
    <w:div w:id="1101297690">
      <w:bodyDiv w:val="1"/>
      <w:marLeft w:val="0"/>
      <w:marRight w:val="0"/>
      <w:marTop w:val="0"/>
      <w:marBottom w:val="0"/>
      <w:divBdr>
        <w:top w:val="none" w:sz="0" w:space="0" w:color="auto"/>
        <w:left w:val="none" w:sz="0" w:space="0" w:color="auto"/>
        <w:bottom w:val="none" w:sz="0" w:space="0" w:color="auto"/>
        <w:right w:val="none" w:sz="0" w:space="0" w:color="auto"/>
      </w:divBdr>
    </w:div>
    <w:div w:id="1142579966">
      <w:bodyDiv w:val="1"/>
      <w:marLeft w:val="0"/>
      <w:marRight w:val="0"/>
      <w:marTop w:val="0"/>
      <w:marBottom w:val="0"/>
      <w:divBdr>
        <w:top w:val="none" w:sz="0" w:space="0" w:color="auto"/>
        <w:left w:val="none" w:sz="0" w:space="0" w:color="auto"/>
        <w:bottom w:val="none" w:sz="0" w:space="0" w:color="auto"/>
        <w:right w:val="none" w:sz="0" w:space="0" w:color="auto"/>
      </w:divBdr>
    </w:div>
    <w:div w:id="1145049366">
      <w:bodyDiv w:val="1"/>
      <w:marLeft w:val="0"/>
      <w:marRight w:val="0"/>
      <w:marTop w:val="0"/>
      <w:marBottom w:val="0"/>
      <w:divBdr>
        <w:top w:val="none" w:sz="0" w:space="0" w:color="auto"/>
        <w:left w:val="none" w:sz="0" w:space="0" w:color="auto"/>
        <w:bottom w:val="none" w:sz="0" w:space="0" w:color="auto"/>
        <w:right w:val="none" w:sz="0" w:space="0" w:color="auto"/>
      </w:divBdr>
    </w:div>
    <w:div w:id="1178499179">
      <w:bodyDiv w:val="1"/>
      <w:marLeft w:val="0"/>
      <w:marRight w:val="0"/>
      <w:marTop w:val="0"/>
      <w:marBottom w:val="0"/>
      <w:divBdr>
        <w:top w:val="none" w:sz="0" w:space="0" w:color="auto"/>
        <w:left w:val="none" w:sz="0" w:space="0" w:color="auto"/>
        <w:bottom w:val="none" w:sz="0" w:space="0" w:color="auto"/>
        <w:right w:val="none" w:sz="0" w:space="0" w:color="auto"/>
      </w:divBdr>
    </w:div>
    <w:div w:id="1207445627">
      <w:bodyDiv w:val="1"/>
      <w:marLeft w:val="0"/>
      <w:marRight w:val="0"/>
      <w:marTop w:val="0"/>
      <w:marBottom w:val="0"/>
      <w:divBdr>
        <w:top w:val="none" w:sz="0" w:space="0" w:color="auto"/>
        <w:left w:val="none" w:sz="0" w:space="0" w:color="auto"/>
        <w:bottom w:val="none" w:sz="0" w:space="0" w:color="auto"/>
        <w:right w:val="none" w:sz="0" w:space="0" w:color="auto"/>
      </w:divBdr>
    </w:div>
    <w:div w:id="1232425399">
      <w:bodyDiv w:val="1"/>
      <w:marLeft w:val="0"/>
      <w:marRight w:val="0"/>
      <w:marTop w:val="0"/>
      <w:marBottom w:val="0"/>
      <w:divBdr>
        <w:top w:val="none" w:sz="0" w:space="0" w:color="auto"/>
        <w:left w:val="none" w:sz="0" w:space="0" w:color="auto"/>
        <w:bottom w:val="none" w:sz="0" w:space="0" w:color="auto"/>
        <w:right w:val="none" w:sz="0" w:space="0" w:color="auto"/>
      </w:divBdr>
      <w:divsChild>
        <w:div w:id="1756128508">
          <w:marLeft w:val="486"/>
          <w:marRight w:val="0"/>
          <w:marTop w:val="0"/>
          <w:marBottom w:val="101"/>
          <w:divBdr>
            <w:top w:val="none" w:sz="0" w:space="0" w:color="auto"/>
            <w:left w:val="none" w:sz="0" w:space="0" w:color="auto"/>
            <w:bottom w:val="none" w:sz="0" w:space="0" w:color="auto"/>
            <w:right w:val="none" w:sz="0" w:space="0" w:color="auto"/>
          </w:divBdr>
        </w:div>
        <w:div w:id="746347189">
          <w:marLeft w:val="486"/>
          <w:marRight w:val="0"/>
          <w:marTop w:val="0"/>
          <w:marBottom w:val="101"/>
          <w:divBdr>
            <w:top w:val="none" w:sz="0" w:space="0" w:color="auto"/>
            <w:left w:val="none" w:sz="0" w:space="0" w:color="auto"/>
            <w:bottom w:val="none" w:sz="0" w:space="0" w:color="auto"/>
            <w:right w:val="none" w:sz="0" w:space="0" w:color="auto"/>
          </w:divBdr>
        </w:div>
        <w:div w:id="47068592">
          <w:marLeft w:val="486"/>
          <w:marRight w:val="0"/>
          <w:marTop w:val="0"/>
          <w:marBottom w:val="101"/>
          <w:divBdr>
            <w:top w:val="none" w:sz="0" w:space="0" w:color="auto"/>
            <w:left w:val="none" w:sz="0" w:space="0" w:color="auto"/>
            <w:bottom w:val="none" w:sz="0" w:space="0" w:color="auto"/>
            <w:right w:val="none" w:sz="0" w:space="0" w:color="auto"/>
          </w:divBdr>
        </w:div>
      </w:divsChild>
    </w:div>
    <w:div w:id="1252663458">
      <w:bodyDiv w:val="1"/>
      <w:marLeft w:val="0"/>
      <w:marRight w:val="0"/>
      <w:marTop w:val="0"/>
      <w:marBottom w:val="0"/>
      <w:divBdr>
        <w:top w:val="none" w:sz="0" w:space="0" w:color="auto"/>
        <w:left w:val="none" w:sz="0" w:space="0" w:color="auto"/>
        <w:bottom w:val="none" w:sz="0" w:space="0" w:color="auto"/>
        <w:right w:val="none" w:sz="0" w:space="0" w:color="auto"/>
      </w:divBdr>
    </w:div>
    <w:div w:id="1268267175">
      <w:bodyDiv w:val="1"/>
      <w:marLeft w:val="0"/>
      <w:marRight w:val="0"/>
      <w:marTop w:val="0"/>
      <w:marBottom w:val="0"/>
      <w:divBdr>
        <w:top w:val="none" w:sz="0" w:space="0" w:color="auto"/>
        <w:left w:val="none" w:sz="0" w:space="0" w:color="auto"/>
        <w:bottom w:val="none" w:sz="0" w:space="0" w:color="auto"/>
        <w:right w:val="none" w:sz="0" w:space="0" w:color="auto"/>
      </w:divBdr>
    </w:div>
    <w:div w:id="1271012413">
      <w:bodyDiv w:val="1"/>
      <w:marLeft w:val="0"/>
      <w:marRight w:val="0"/>
      <w:marTop w:val="0"/>
      <w:marBottom w:val="0"/>
      <w:divBdr>
        <w:top w:val="none" w:sz="0" w:space="0" w:color="auto"/>
        <w:left w:val="none" w:sz="0" w:space="0" w:color="auto"/>
        <w:bottom w:val="none" w:sz="0" w:space="0" w:color="auto"/>
        <w:right w:val="none" w:sz="0" w:space="0" w:color="auto"/>
      </w:divBdr>
    </w:div>
    <w:div w:id="1317029028">
      <w:bodyDiv w:val="1"/>
      <w:marLeft w:val="0"/>
      <w:marRight w:val="0"/>
      <w:marTop w:val="0"/>
      <w:marBottom w:val="0"/>
      <w:divBdr>
        <w:top w:val="none" w:sz="0" w:space="0" w:color="auto"/>
        <w:left w:val="none" w:sz="0" w:space="0" w:color="auto"/>
        <w:bottom w:val="none" w:sz="0" w:space="0" w:color="auto"/>
        <w:right w:val="none" w:sz="0" w:space="0" w:color="auto"/>
      </w:divBdr>
    </w:div>
    <w:div w:id="1328248829">
      <w:bodyDiv w:val="1"/>
      <w:marLeft w:val="0"/>
      <w:marRight w:val="0"/>
      <w:marTop w:val="0"/>
      <w:marBottom w:val="0"/>
      <w:divBdr>
        <w:top w:val="none" w:sz="0" w:space="0" w:color="auto"/>
        <w:left w:val="none" w:sz="0" w:space="0" w:color="auto"/>
        <w:bottom w:val="none" w:sz="0" w:space="0" w:color="auto"/>
        <w:right w:val="none" w:sz="0" w:space="0" w:color="auto"/>
      </w:divBdr>
    </w:div>
    <w:div w:id="1356734091">
      <w:bodyDiv w:val="1"/>
      <w:marLeft w:val="0"/>
      <w:marRight w:val="0"/>
      <w:marTop w:val="0"/>
      <w:marBottom w:val="0"/>
      <w:divBdr>
        <w:top w:val="none" w:sz="0" w:space="0" w:color="auto"/>
        <w:left w:val="none" w:sz="0" w:space="0" w:color="auto"/>
        <w:bottom w:val="none" w:sz="0" w:space="0" w:color="auto"/>
        <w:right w:val="none" w:sz="0" w:space="0" w:color="auto"/>
      </w:divBdr>
    </w:div>
    <w:div w:id="1370375548">
      <w:bodyDiv w:val="1"/>
      <w:marLeft w:val="0"/>
      <w:marRight w:val="0"/>
      <w:marTop w:val="0"/>
      <w:marBottom w:val="0"/>
      <w:divBdr>
        <w:top w:val="none" w:sz="0" w:space="0" w:color="auto"/>
        <w:left w:val="none" w:sz="0" w:space="0" w:color="auto"/>
        <w:bottom w:val="none" w:sz="0" w:space="0" w:color="auto"/>
        <w:right w:val="none" w:sz="0" w:space="0" w:color="auto"/>
      </w:divBdr>
      <w:divsChild>
        <w:div w:id="490289698">
          <w:marLeft w:val="0"/>
          <w:marRight w:val="0"/>
          <w:marTop w:val="0"/>
          <w:marBottom w:val="101"/>
          <w:divBdr>
            <w:top w:val="none" w:sz="0" w:space="0" w:color="auto"/>
            <w:left w:val="none" w:sz="0" w:space="0" w:color="auto"/>
            <w:bottom w:val="none" w:sz="0" w:space="0" w:color="auto"/>
            <w:right w:val="none" w:sz="0" w:space="0" w:color="auto"/>
          </w:divBdr>
        </w:div>
        <w:div w:id="1093236736">
          <w:marLeft w:val="0"/>
          <w:marRight w:val="0"/>
          <w:marTop w:val="0"/>
          <w:marBottom w:val="101"/>
          <w:divBdr>
            <w:top w:val="none" w:sz="0" w:space="0" w:color="auto"/>
            <w:left w:val="none" w:sz="0" w:space="0" w:color="auto"/>
            <w:bottom w:val="none" w:sz="0" w:space="0" w:color="auto"/>
            <w:right w:val="none" w:sz="0" w:space="0" w:color="auto"/>
          </w:divBdr>
        </w:div>
        <w:div w:id="1147017372">
          <w:marLeft w:val="0"/>
          <w:marRight w:val="0"/>
          <w:marTop w:val="0"/>
          <w:marBottom w:val="101"/>
          <w:divBdr>
            <w:top w:val="none" w:sz="0" w:space="0" w:color="auto"/>
            <w:left w:val="none" w:sz="0" w:space="0" w:color="auto"/>
            <w:bottom w:val="none" w:sz="0" w:space="0" w:color="auto"/>
            <w:right w:val="none" w:sz="0" w:space="0" w:color="auto"/>
          </w:divBdr>
        </w:div>
        <w:div w:id="441532680">
          <w:marLeft w:val="0"/>
          <w:marRight w:val="0"/>
          <w:marTop w:val="0"/>
          <w:marBottom w:val="101"/>
          <w:divBdr>
            <w:top w:val="none" w:sz="0" w:space="0" w:color="auto"/>
            <w:left w:val="none" w:sz="0" w:space="0" w:color="auto"/>
            <w:bottom w:val="none" w:sz="0" w:space="0" w:color="auto"/>
            <w:right w:val="none" w:sz="0" w:space="0" w:color="auto"/>
          </w:divBdr>
        </w:div>
        <w:div w:id="1708527775">
          <w:marLeft w:val="0"/>
          <w:marRight w:val="0"/>
          <w:marTop w:val="0"/>
          <w:marBottom w:val="101"/>
          <w:divBdr>
            <w:top w:val="none" w:sz="0" w:space="0" w:color="auto"/>
            <w:left w:val="none" w:sz="0" w:space="0" w:color="auto"/>
            <w:bottom w:val="none" w:sz="0" w:space="0" w:color="auto"/>
            <w:right w:val="none" w:sz="0" w:space="0" w:color="auto"/>
          </w:divBdr>
        </w:div>
        <w:div w:id="1041516154">
          <w:marLeft w:val="0"/>
          <w:marRight w:val="0"/>
          <w:marTop w:val="0"/>
          <w:marBottom w:val="101"/>
          <w:divBdr>
            <w:top w:val="none" w:sz="0" w:space="0" w:color="auto"/>
            <w:left w:val="none" w:sz="0" w:space="0" w:color="auto"/>
            <w:bottom w:val="none" w:sz="0" w:space="0" w:color="auto"/>
            <w:right w:val="none" w:sz="0" w:space="0" w:color="auto"/>
          </w:divBdr>
        </w:div>
      </w:divsChild>
    </w:div>
    <w:div w:id="1380086834">
      <w:bodyDiv w:val="1"/>
      <w:marLeft w:val="0"/>
      <w:marRight w:val="0"/>
      <w:marTop w:val="0"/>
      <w:marBottom w:val="0"/>
      <w:divBdr>
        <w:top w:val="none" w:sz="0" w:space="0" w:color="auto"/>
        <w:left w:val="none" w:sz="0" w:space="0" w:color="auto"/>
        <w:bottom w:val="none" w:sz="0" w:space="0" w:color="auto"/>
        <w:right w:val="none" w:sz="0" w:space="0" w:color="auto"/>
      </w:divBdr>
    </w:div>
    <w:div w:id="1399285041">
      <w:bodyDiv w:val="1"/>
      <w:marLeft w:val="0"/>
      <w:marRight w:val="0"/>
      <w:marTop w:val="0"/>
      <w:marBottom w:val="0"/>
      <w:divBdr>
        <w:top w:val="none" w:sz="0" w:space="0" w:color="auto"/>
        <w:left w:val="none" w:sz="0" w:space="0" w:color="auto"/>
        <w:bottom w:val="none" w:sz="0" w:space="0" w:color="auto"/>
        <w:right w:val="none" w:sz="0" w:space="0" w:color="auto"/>
      </w:divBdr>
      <w:divsChild>
        <w:div w:id="123273694">
          <w:marLeft w:val="0"/>
          <w:marRight w:val="0"/>
          <w:marTop w:val="0"/>
          <w:marBottom w:val="0"/>
          <w:divBdr>
            <w:top w:val="none" w:sz="0" w:space="0" w:color="auto"/>
            <w:left w:val="none" w:sz="0" w:space="0" w:color="auto"/>
            <w:bottom w:val="none" w:sz="0" w:space="0" w:color="auto"/>
            <w:right w:val="none" w:sz="0" w:space="0" w:color="auto"/>
          </w:divBdr>
        </w:div>
        <w:div w:id="440339446">
          <w:marLeft w:val="0"/>
          <w:marRight w:val="0"/>
          <w:marTop w:val="0"/>
          <w:marBottom w:val="0"/>
          <w:divBdr>
            <w:top w:val="none" w:sz="0" w:space="0" w:color="auto"/>
            <w:left w:val="none" w:sz="0" w:space="0" w:color="auto"/>
            <w:bottom w:val="none" w:sz="0" w:space="0" w:color="auto"/>
            <w:right w:val="none" w:sz="0" w:space="0" w:color="auto"/>
          </w:divBdr>
        </w:div>
        <w:div w:id="1608082357">
          <w:marLeft w:val="0"/>
          <w:marRight w:val="0"/>
          <w:marTop w:val="0"/>
          <w:marBottom w:val="0"/>
          <w:divBdr>
            <w:top w:val="none" w:sz="0" w:space="0" w:color="auto"/>
            <w:left w:val="none" w:sz="0" w:space="0" w:color="auto"/>
            <w:bottom w:val="none" w:sz="0" w:space="0" w:color="auto"/>
            <w:right w:val="none" w:sz="0" w:space="0" w:color="auto"/>
          </w:divBdr>
        </w:div>
        <w:div w:id="740373317">
          <w:marLeft w:val="0"/>
          <w:marRight w:val="0"/>
          <w:marTop w:val="0"/>
          <w:marBottom w:val="0"/>
          <w:divBdr>
            <w:top w:val="none" w:sz="0" w:space="0" w:color="auto"/>
            <w:left w:val="none" w:sz="0" w:space="0" w:color="auto"/>
            <w:bottom w:val="none" w:sz="0" w:space="0" w:color="auto"/>
            <w:right w:val="none" w:sz="0" w:space="0" w:color="auto"/>
          </w:divBdr>
        </w:div>
        <w:div w:id="1925214887">
          <w:marLeft w:val="0"/>
          <w:marRight w:val="0"/>
          <w:marTop w:val="0"/>
          <w:marBottom w:val="0"/>
          <w:divBdr>
            <w:top w:val="none" w:sz="0" w:space="0" w:color="auto"/>
            <w:left w:val="none" w:sz="0" w:space="0" w:color="auto"/>
            <w:bottom w:val="none" w:sz="0" w:space="0" w:color="auto"/>
            <w:right w:val="none" w:sz="0" w:space="0" w:color="auto"/>
          </w:divBdr>
        </w:div>
        <w:div w:id="320349791">
          <w:marLeft w:val="0"/>
          <w:marRight w:val="0"/>
          <w:marTop w:val="0"/>
          <w:marBottom w:val="0"/>
          <w:divBdr>
            <w:top w:val="none" w:sz="0" w:space="0" w:color="auto"/>
            <w:left w:val="none" w:sz="0" w:space="0" w:color="auto"/>
            <w:bottom w:val="none" w:sz="0" w:space="0" w:color="auto"/>
            <w:right w:val="none" w:sz="0" w:space="0" w:color="auto"/>
          </w:divBdr>
        </w:div>
        <w:div w:id="573586411">
          <w:marLeft w:val="0"/>
          <w:marRight w:val="0"/>
          <w:marTop w:val="0"/>
          <w:marBottom w:val="0"/>
          <w:divBdr>
            <w:top w:val="none" w:sz="0" w:space="0" w:color="auto"/>
            <w:left w:val="none" w:sz="0" w:space="0" w:color="auto"/>
            <w:bottom w:val="none" w:sz="0" w:space="0" w:color="auto"/>
            <w:right w:val="none" w:sz="0" w:space="0" w:color="auto"/>
          </w:divBdr>
        </w:div>
        <w:div w:id="797459335">
          <w:marLeft w:val="0"/>
          <w:marRight w:val="0"/>
          <w:marTop w:val="0"/>
          <w:marBottom w:val="0"/>
          <w:divBdr>
            <w:top w:val="none" w:sz="0" w:space="0" w:color="auto"/>
            <w:left w:val="none" w:sz="0" w:space="0" w:color="auto"/>
            <w:bottom w:val="none" w:sz="0" w:space="0" w:color="auto"/>
            <w:right w:val="none" w:sz="0" w:space="0" w:color="auto"/>
          </w:divBdr>
        </w:div>
        <w:div w:id="565846547">
          <w:marLeft w:val="0"/>
          <w:marRight w:val="0"/>
          <w:marTop w:val="0"/>
          <w:marBottom w:val="0"/>
          <w:divBdr>
            <w:top w:val="none" w:sz="0" w:space="0" w:color="auto"/>
            <w:left w:val="none" w:sz="0" w:space="0" w:color="auto"/>
            <w:bottom w:val="none" w:sz="0" w:space="0" w:color="auto"/>
            <w:right w:val="none" w:sz="0" w:space="0" w:color="auto"/>
          </w:divBdr>
        </w:div>
        <w:div w:id="969476128">
          <w:marLeft w:val="0"/>
          <w:marRight w:val="0"/>
          <w:marTop w:val="0"/>
          <w:marBottom w:val="0"/>
          <w:divBdr>
            <w:top w:val="none" w:sz="0" w:space="0" w:color="auto"/>
            <w:left w:val="none" w:sz="0" w:space="0" w:color="auto"/>
            <w:bottom w:val="none" w:sz="0" w:space="0" w:color="auto"/>
            <w:right w:val="none" w:sz="0" w:space="0" w:color="auto"/>
          </w:divBdr>
        </w:div>
        <w:div w:id="1110466321">
          <w:marLeft w:val="0"/>
          <w:marRight w:val="0"/>
          <w:marTop w:val="0"/>
          <w:marBottom w:val="0"/>
          <w:divBdr>
            <w:top w:val="none" w:sz="0" w:space="0" w:color="auto"/>
            <w:left w:val="none" w:sz="0" w:space="0" w:color="auto"/>
            <w:bottom w:val="none" w:sz="0" w:space="0" w:color="auto"/>
            <w:right w:val="none" w:sz="0" w:space="0" w:color="auto"/>
          </w:divBdr>
        </w:div>
        <w:div w:id="797919363">
          <w:marLeft w:val="0"/>
          <w:marRight w:val="0"/>
          <w:marTop w:val="0"/>
          <w:marBottom w:val="0"/>
          <w:divBdr>
            <w:top w:val="none" w:sz="0" w:space="0" w:color="auto"/>
            <w:left w:val="none" w:sz="0" w:space="0" w:color="auto"/>
            <w:bottom w:val="none" w:sz="0" w:space="0" w:color="auto"/>
            <w:right w:val="none" w:sz="0" w:space="0" w:color="auto"/>
          </w:divBdr>
        </w:div>
        <w:div w:id="1689483144">
          <w:marLeft w:val="0"/>
          <w:marRight w:val="0"/>
          <w:marTop w:val="0"/>
          <w:marBottom w:val="0"/>
          <w:divBdr>
            <w:top w:val="none" w:sz="0" w:space="0" w:color="auto"/>
            <w:left w:val="none" w:sz="0" w:space="0" w:color="auto"/>
            <w:bottom w:val="none" w:sz="0" w:space="0" w:color="auto"/>
            <w:right w:val="none" w:sz="0" w:space="0" w:color="auto"/>
          </w:divBdr>
        </w:div>
        <w:div w:id="1215501573">
          <w:marLeft w:val="0"/>
          <w:marRight w:val="0"/>
          <w:marTop w:val="0"/>
          <w:marBottom w:val="0"/>
          <w:divBdr>
            <w:top w:val="none" w:sz="0" w:space="0" w:color="auto"/>
            <w:left w:val="none" w:sz="0" w:space="0" w:color="auto"/>
            <w:bottom w:val="none" w:sz="0" w:space="0" w:color="auto"/>
            <w:right w:val="none" w:sz="0" w:space="0" w:color="auto"/>
          </w:divBdr>
        </w:div>
        <w:div w:id="1698311462">
          <w:marLeft w:val="0"/>
          <w:marRight w:val="0"/>
          <w:marTop w:val="0"/>
          <w:marBottom w:val="0"/>
          <w:divBdr>
            <w:top w:val="none" w:sz="0" w:space="0" w:color="auto"/>
            <w:left w:val="none" w:sz="0" w:space="0" w:color="auto"/>
            <w:bottom w:val="none" w:sz="0" w:space="0" w:color="auto"/>
            <w:right w:val="none" w:sz="0" w:space="0" w:color="auto"/>
          </w:divBdr>
        </w:div>
        <w:div w:id="600332261">
          <w:marLeft w:val="0"/>
          <w:marRight w:val="0"/>
          <w:marTop w:val="0"/>
          <w:marBottom w:val="0"/>
          <w:divBdr>
            <w:top w:val="none" w:sz="0" w:space="0" w:color="auto"/>
            <w:left w:val="none" w:sz="0" w:space="0" w:color="auto"/>
            <w:bottom w:val="none" w:sz="0" w:space="0" w:color="auto"/>
            <w:right w:val="none" w:sz="0" w:space="0" w:color="auto"/>
          </w:divBdr>
        </w:div>
        <w:div w:id="55933832">
          <w:marLeft w:val="0"/>
          <w:marRight w:val="0"/>
          <w:marTop w:val="0"/>
          <w:marBottom w:val="0"/>
          <w:divBdr>
            <w:top w:val="none" w:sz="0" w:space="0" w:color="auto"/>
            <w:left w:val="none" w:sz="0" w:space="0" w:color="auto"/>
            <w:bottom w:val="none" w:sz="0" w:space="0" w:color="auto"/>
            <w:right w:val="none" w:sz="0" w:space="0" w:color="auto"/>
          </w:divBdr>
        </w:div>
        <w:div w:id="1303195987">
          <w:marLeft w:val="0"/>
          <w:marRight w:val="0"/>
          <w:marTop w:val="0"/>
          <w:marBottom w:val="0"/>
          <w:divBdr>
            <w:top w:val="none" w:sz="0" w:space="0" w:color="auto"/>
            <w:left w:val="none" w:sz="0" w:space="0" w:color="auto"/>
            <w:bottom w:val="none" w:sz="0" w:space="0" w:color="auto"/>
            <w:right w:val="none" w:sz="0" w:space="0" w:color="auto"/>
          </w:divBdr>
        </w:div>
        <w:div w:id="1274022606">
          <w:marLeft w:val="0"/>
          <w:marRight w:val="0"/>
          <w:marTop w:val="0"/>
          <w:marBottom w:val="0"/>
          <w:divBdr>
            <w:top w:val="none" w:sz="0" w:space="0" w:color="auto"/>
            <w:left w:val="none" w:sz="0" w:space="0" w:color="auto"/>
            <w:bottom w:val="none" w:sz="0" w:space="0" w:color="auto"/>
            <w:right w:val="none" w:sz="0" w:space="0" w:color="auto"/>
          </w:divBdr>
        </w:div>
        <w:div w:id="321928579">
          <w:marLeft w:val="0"/>
          <w:marRight w:val="0"/>
          <w:marTop w:val="0"/>
          <w:marBottom w:val="0"/>
          <w:divBdr>
            <w:top w:val="none" w:sz="0" w:space="0" w:color="auto"/>
            <w:left w:val="none" w:sz="0" w:space="0" w:color="auto"/>
            <w:bottom w:val="none" w:sz="0" w:space="0" w:color="auto"/>
            <w:right w:val="none" w:sz="0" w:space="0" w:color="auto"/>
          </w:divBdr>
        </w:div>
        <w:div w:id="1594819597">
          <w:marLeft w:val="0"/>
          <w:marRight w:val="0"/>
          <w:marTop w:val="0"/>
          <w:marBottom w:val="0"/>
          <w:divBdr>
            <w:top w:val="none" w:sz="0" w:space="0" w:color="auto"/>
            <w:left w:val="none" w:sz="0" w:space="0" w:color="auto"/>
            <w:bottom w:val="none" w:sz="0" w:space="0" w:color="auto"/>
            <w:right w:val="none" w:sz="0" w:space="0" w:color="auto"/>
          </w:divBdr>
        </w:div>
        <w:div w:id="2052000448">
          <w:marLeft w:val="0"/>
          <w:marRight w:val="0"/>
          <w:marTop w:val="0"/>
          <w:marBottom w:val="0"/>
          <w:divBdr>
            <w:top w:val="none" w:sz="0" w:space="0" w:color="auto"/>
            <w:left w:val="none" w:sz="0" w:space="0" w:color="auto"/>
            <w:bottom w:val="none" w:sz="0" w:space="0" w:color="auto"/>
            <w:right w:val="none" w:sz="0" w:space="0" w:color="auto"/>
          </w:divBdr>
        </w:div>
        <w:div w:id="1660688729">
          <w:marLeft w:val="0"/>
          <w:marRight w:val="0"/>
          <w:marTop w:val="0"/>
          <w:marBottom w:val="0"/>
          <w:divBdr>
            <w:top w:val="none" w:sz="0" w:space="0" w:color="auto"/>
            <w:left w:val="none" w:sz="0" w:space="0" w:color="auto"/>
            <w:bottom w:val="none" w:sz="0" w:space="0" w:color="auto"/>
            <w:right w:val="none" w:sz="0" w:space="0" w:color="auto"/>
          </w:divBdr>
        </w:div>
        <w:div w:id="1849907182">
          <w:marLeft w:val="0"/>
          <w:marRight w:val="0"/>
          <w:marTop w:val="0"/>
          <w:marBottom w:val="0"/>
          <w:divBdr>
            <w:top w:val="none" w:sz="0" w:space="0" w:color="auto"/>
            <w:left w:val="none" w:sz="0" w:space="0" w:color="auto"/>
            <w:bottom w:val="none" w:sz="0" w:space="0" w:color="auto"/>
            <w:right w:val="none" w:sz="0" w:space="0" w:color="auto"/>
          </w:divBdr>
        </w:div>
        <w:div w:id="2044014619">
          <w:marLeft w:val="0"/>
          <w:marRight w:val="0"/>
          <w:marTop w:val="0"/>
          <w:marBottom w:val="0"/>
          <w:divBdr>
            <w:top w:val="none" w:sz="0" w:space="0" w:color="auto"/>
            <w:left w:val="none" w:sz="0" w:space="0" w:color="auto"/>
            <w:bottom w:val="none" w:sz="0" w:space="0" w:color="auto"/>
            <w:right w:val="none" w:sz="0" w:space="0" w:color="auto"/>
          </w:divBdr>
        </w:div>
        <w:div w:id="281351592">
          <w:marLeft w:val="0"/>
          <w:marRight w:val="0"/>
          <w:marTop w:val="0"/>
          <w:marBottom w:val="0"/>
          <w:divBdr>
            <w:top w:val="none" w:sz="0" w:space="0" w:color="auto"/>
            <w:left w:val="none" w:sz="0" w:space="0" w:color="auto"/>
            <w:bottom w:val="none" w:sz="0" w:space="0" w:color="auto"/>
            <w:right w:val="none" w:sz="0" w:space="0" w:color="auto"/>
          </w:divBdr>
        </w:div>
        <w:div w:id="1616912575">
          <w:marLeft w:val="0"/>
          <w:marRight w:val="0"/>
          <w:marTop w:val="0"/>
          <w:marBottom w:val="0"/>
          <w:divBdr>
            <w:top w:val="none" w:sz="0" w:space="0" w:color="auto"/>
            <w:left w:val="none" w:sz="0" w:space="0" w:color="auto"/>
            <w:bottom w:val="none" w:sz="0" w:space="0" w:color="auto"/>
            <w:right w:val="none" w:sz="0" w:space="0" w:color="auto"/>
          </w:divBdr>
        </w:div>
        <w:div w:id="1259943911">
          <w:marLeft w:val="0"/>
          <w:marRight w:val="0"/>
          <w:marTop w:val="0"/>
          <w:marBottom w:val="0"/>
          <w:divBdr>
            <w:top w:val="none" w:sz="0" w:space="0" w:color="auto"/>
            <w:left w:val="none" w:sz="0" w:space="0" w:color="auto"/>
            <w:bottom w:val="none" w:sz="0" w:space="0" w:color="auto"/>
            <w:right w:val="none" w:sz="0" w:space="0" w:color="auto"/>
          </w:divBdr>
        </w:div>
        <w:div w:id="686636287">
          <w:marLeft w:val="0"/>
          <w:marRight w:val="0"/>
          <w:marTop w:val="0"/>
          <w:marBottom w:val="0"/>
          <w:divBdr>
            <w:top w:val="none" w:sz="0" w:space="0" w:color="auto"/>
            <w:left w:val="none" w:sz="0" w:space="0" w:color="auto"/>
            <w:bottom w:val="none" w:sz="0" w:space="0" w:color="auto"/>
            <w:right w:val="none" w:sz="0" w:space="0" w:color="auto"/>
          </w:divBdr>
        </w:div>
        <w:div w:id="670984895">
          <w:marLeft w:val="0"/>
          <w:marRight w:val="0"/>
          <w:marTop w:val="0"/>
          <w:marBottom w:val="0"/>
          <w:divBdr>
            <w:top w:val="none" w:sz="0" w:space="0" w:color="auto"/>
            <w:left w:val="none" w:sz="0" w:space="0" w:color="auto"/>
            <w:bottom w:val="none" w:sz="0" w:space="0" w:color="auto"/>
            <w:right w:val="none" w:sz="0" w:space="0" w:color="auto"/>
          </w:divBdr>
        </w:div>
        <w:div w:id="1347556622">
          <w:marLeft w:val="0"/>
          <w:marRight w:val="0"/>
          <w:marTop w:val="0"/>
          <w:marBottom w:val="0"/>
          <w:divBdr>
            <w:top w:val="none" w:sz="0" w:space="0" w:color="auto"/>
            <w:left w:val="none" w:sz="0" w:space="0" w:color="auto"/>
            <w:bottom w:val="none" w:sz="0" w:space="0" w:color="auto"/>
            <w:right w:val="none" w:sz="0" w:space="0" w:color="auto"/>
          </w:divBdr>
        </w:div>
        <w:div w:id="1169179052">
          <w:marLeft w:val="0"/>
          <w:marRight w:val="0"/>
          <w:marTop w:val="0"/>
          <w:marBottom w:val="0"/>
          <w:divBdr>
            <w:top w:val="none" w:sz="0" w:space="0" w:color="auto"/>
            <w:left w:val="none" w:sz="0" w:space="0" w:color="auto"/>
            <w:bottom w:val="none" w:sz="0" w:space="0" w:color="auto"/>
            <w:right w:val="none" w:sz="0" w:space="0" w:color="auto"/>
          </w:divBdr>
        </w:div>
        <w:div w:id="2128694603">
          <w:marLeft w:val="0"/>
          <w:marRight w:val="0"/>
          <w:marTop w:val="0"/>
          <w:marBottom w:val="0"/>
          <w:divBdr>
            <w:top w:val="none" w:sz="0" w:space="0" w:color="auto"/>
            <w:left w:val="none" w:sz="0" w:space="0" w:color="auto"/>
            <w:bottom w:val="none" w:sz="0" w:space="0" w:color="auto"/>
            <w:right w:val="none" w:sz="0" w:space="0" w:color="auto"/>
          </w:divBdr>
        </w:div>
        <w:div w:id="1114906514">
          <w:marLeft w:val="0"/>
          <w:marRight w:val="0"/>
          <w:marTop w:val="0"/>
          <w:marBottom w:val="0"/>
          <w:divBdr>
            <w:top w:val="none" w:sz="0" w:space="0" w:color="auto"/>
            <w:left w:val="none" w:sz="0" w:space="0" w:color="auto"/>
            <w:bottom w:val="none" w:sz="0" w:space="0" w:color="auto"/>
            <w:right w:val="none" w:sz="0" w:space="0" w:color="auto"/>
          </w:divBdr>
        </w:div>
        <w:div w:id="787092972">
          <w:marLeft w:val="0"/>
          <w:marRight w:val="0"/>
          <w:marTop w:val="0"/>
          <w:marBottom w:val="0"/>
          <w:divBdr>
            <w:top w:val="none" w:sz="0" w:space="0" w:color="auto"/>
            <w:left w:val="none" w:sz="0" w:space="0" w:color="auto"/>
            <w:bottom w:val="none" w:sz="0" w:space="0" w:color="auto"/>
            <w:right w:val="none" w:sz="0" w:space="0" w:color="auto"/>
          </w:divBdr>
        </w:div>
        <w:div w:id="31148686">
          <w:marLeft w:val="0"/>
          <w:marRight w:val="0"/>
          <w:marTop w:val="0"/>
          <w:marBottom w:val="0"/>
          <w:divBdr>
            <w:top w:val="none" w:sz="0" w:space="0" w:color="auto"/>
            <w:left w:val="none" w:sz="0" w:space="0" w:color="auto"/>
            <w:bottom w:val="none" w:sz="0" w:space="0" w:color="auto"/>
            <w:right w:val="none" w:sz="0" w:space="0" w:color="auto"/>
          </w:divBdr>
        </w:div>
        <w:div w:id="1484618424">
          <w:marLeft w:val="0"/>
          <w:marRight w:val="0"/>
          <w:marTop w:val="0"/>
          <w:marBottom w:val="0"/>
          <w:divBdr>
            <w:top w:val="none" w:sz="0" w:space="0" w:color="auto"/>
            <w:left w:val="none" w:sz="0" w:space="0" w:color="auto"/>
            <w:bottom w:val="none" w:sz="0" w:space="0" w:color="auto"/>
            <w:right w:val="none" w:sz="0" w:space="0" w:color="auto"/>
          </w:divBdr>
        </w:div>
        <w:div w:id="289943817">
          <w:marLeft w:val="0"/>
          <w:marRight w:val="0"/>
          <w:marTop w:val="0"/>
          <w:marBottom w:val="0"/>
          <w:divBdr>
            <w:top w:val="none" w:sz="0" w:space="0" w:color="auto"/>
            <w:left w:val="none" w:sz="0" w:space="0" w:color="auto"/>
            <w:bottom w:val="none" w:sz="0" w:space="0" w:color="auto"/>
            <w:right w:val="none" w:sz="0" w:space="0" w:color="auto"/>
          </w:divBdr>
        </w:div>
        <w:div w:id="1061293610">
          <w:marLeft w:val="0"/>
          <w:marRight w:val="0"/>
          <w:marTop w:val="0"/>
          <w:marBottom w:val="0"/>
          <w:divBdr>
            <w:top w:val="none" w:sz="0" w:space="0" w:color="auto"/>
            <w:left w:val="none" w:sz="0" w:space="0" w:color="auto"/>
            <w:bottom w:val="none" w:sz="0" w:space="0" w:color="auto"/>
            <w:right w:val="none" w:sz="0" w:space="0" w:color="auto"/>
          </w:divBdr>
        </w:div>
        <w:div w:id="1813711855">
          <w:marLeft w:val="0"/>
          <w:marRight w:val="0"/>
          <w:marTop w:val="0"/>
          <w:marBottom w:val="0"/>
          <w:divBdr>
            <w:top w:val="none" w:sz="0" w:space="0" w:color="auto"/>
            <w:left w:val="none" w:sz="0" w:space="0" w:color="auto"/>
            <w:bottom w:val="none" w:sz="0" w:space="0" w:color="auto"/>
            <w:right w:val="none" w:sz="0" w:space="0" w:color="auto"/>
          </w:divBdr>
        </w:div>
        <w:div w:id="1515339228">
          <w:marLeft w:val="0"/>
          <w:marRight w:val="0"/>
          <w:marTop w:val="0"/>
          <w:marBottom w:val="0"/>
          <w:divBdr>
            <w:top w:val="none" w:sz="0" w:space="0" w:color="auto"/>
            <w:left w:val="none" w:sz="0" w:space="0" w:color="auto"/>
            <w:bottom w:val="none" w:sz="0" w:space="0" w:color="auto"/>
            <w:right w:val="none" w:sz="0" w:space="0" w:color="auto"/>
          </w:divBdr>
        </w:div>
        <w:div w:id="765153673">
          <w:marLeft w:val="0"/>
          <w:marRight w:val="0"/>
          <w:marTop w:val="0"/>
          <w:marBottom w:val="0"/>
          <w:divBdr>
            <w:top w:val="none" w:sz="0" w:space="0" w:color="auto"/>
            <w:left w:val="none" w:sz="0" w:space="0" w:color="auto"/>
            <w:bottom w:val="none" w:sz="0" w:space="0" w:color="auto"/>
            <w:right w:val="none" w:sz="0" w:space="0" w:color="auto"/>
          </w:divBdr>
        </w:div>
        <w:div w:id="259679823">
          <w:marLeft w:val="0"/>
          <w:marRight w:val="0"/>
          <w:marTop w:val="0"/>
          <w:marBottom w:val="0"/>
          <w:divBdr>
            <w:top w:val="none" w:sz="0" w:space="0" w:color="auto"/>
            <w:left w:val="none" w:sz="0" w:space="0" w:color="auto"/>
            <w:bottom w:val="none" w:sz="0" w:space="0" w:color="auto"/>
            <w:right w:val="none" w:sz="0" w:space="0" w:color="auto"/>
          </w:divBdr>
        </w:div>
        <w:div w:id="178198533">
          <w:marLeft w:val="0"/>
          <w:marRight w:val="0"/>
          <w:marTop w:val="0"/>
          <w:marBottom w:val="0"/>
          <w:divBdr>
            <w:top w:val="none" w:sz="0" w:space="0" w:color="auto"/>
            <w:left w:val="none" w:sz="0" w:space="0" w:color="auto"/>
            <w:bottom w:val="none" w:sz="0" w:space="0" w:color="auto"/>
            <w:right w:val="none" w:sz="0" w:space="0" w:color="auto"/>
          </w:divBdr>
        </w:div>
        <w:div w:id="376783548">
          <w:marLeft w:val="0"/>
          <w:marRight w:val="0"/>
          <w:marTop w:val="0"/>
          <w:marBottom w:val="0"/>
          <w:divBdr>
            <w:top w:val="none" w:sz="0" w:space="0" w:color="auto"/>
            <w:left w:val="none" w:sz="0" w:space="0" w:color="auto"/>
            <w:bottom w:val="none" w:sz="0" w:space="0" w:color="auto"/>
            <w:right w:val="none" w:sz="0" w:space="0" w:color="auto"/>
          </w:divBdr>
        </w:div>
        <w:div w:id="1051536081">
          <w:marLeft w:val="0"/>
          <w:marRight w:val="0"/>
          <w:marTop w:val="0"/>
          <w:marBottom w:val="0"/>
          <w:divBdr>
            <w:top w:val="none" w:sz="0" w:space="0" w:color="auto"/>
            <w:left w:val="none" w:sz="0" w:space="0" w:color="auto"/>
            <w:bottom w:val="none" w:sz="0" w:space="0" w:color="auto"/>
            <w:right w:val="none" w:sz="0" w:space="0" w:color="auto"/>
          </w:divBdr>
        </w:div>
        <w:div w:id="558133623">
          <w:marLeft w:val="0"/>
          <w:marRight w:val="0"/>
          <w:marTop w:val="0"/>
          <w:marBottom w:val="0"/>
          <w:divBdr>
            <w:top w:val="none" w:sz="0" w:space="0" w:color="auto"/>
            <w:left w:val="none" w:sz="0" w:space="0" w:color="auto"/>
            <w:bottom w:val="none" w:sz="0" w:space="0" w:color="auto"/>
            <w:right w:val="none" w:sz="0" w:space="0" w:color="auto"/>
          </w:divBdr>
        </w:div>
        <w:div w:id="292100025">
          <w:marLeft w:val="0"/>
          <w:marRight w:val="0"/>
          <w:marTop w:val="0"/>
          <w:marBottom w:val="0"/>
          <w:divBdr>
            <w:top w:val="none" w:sz="0" w:space="0" w:color="auto"/>
            <w:left w:val="none" w:sz="0" w:space="0" w:color="auto"/>
            <w:bottom w:val="none" w:sz="0" w:space="0" w:color="auto"/>
            <w:right w:val="none" w:sz="0" w:space="0" w:color="auto"/>
          </w:divBdr>
        </w:div>
        <w:div w:id="748237795">
          <w:marLeft w:val="0"/>
          <w:marRight w:val="0"/>
          <w:marTop w:val="0"/>
          <w:marBottom w:val="0"/>
          <w:divBdr>
            <w:top w:val="none" w:sz="0" w:space="0" w:color="auto"/>
            <w:left w:val="none" w:sz="0" w:space="0" w:color="auto"/>
            <w:bottom w:val="none" w:sz="0" w:space="0" w:color="auto"/>
            <w:right w:val="none" w:sz="0" w:space="0" w:color="auto"/>
          </w:divBdr>
        </w:div>
        <w:div w:id="816461395">
          <w:marLeft w:val="0"/>
          <w:marRight w:val="0"/>
          <w:marTop w:val="0"/>
          <w:marBottom w:val="0"/>
          <w:divBdr>
            <w:top w:val="none" w:sz="0" w:space="0" w:color="auto"/>
            <w:left w:val="none" w:sz="0" w:space="0" w:color="auto"/>
            <w:bottom w:val="none" w:sz="0" w:space="0" w:color="auto"/>
            <w:right w:val="none" w:sz="0" w:space="0" w:color="auto"/>
          </w:divBdr>
        </w:div>
        <w:div w:id="932124466">
          <w:marLeft w:val="0"/>
          <w:marRight w:val="0"/>
          <w:marTop w:val="0"/>
          <w:marBottom w:val="0"/>
          <w:divBdr>
            <w:top w:val="none" w:sz="0" w:space="0" w:color="auto"/>
            <w:left w:val="none" w:sz="0" w:space="0" w:color="auto"/>
            <w:bottom w:val="none" w:sz="0" w:space="0" w:color="auto"/>
            <w:right w:val="none" w:sz="0" w:space="0" w:color="auto"/>
          </w:divBdr>
        </w:div>
        <w:div w:id="1686790489">
          <w:marLeft w:val="0"/>
          <w:marRight w:val="0"/>
          <w:marTop w:val="0"/>
          <w:marBottom w:val="0"/>
          <w:divBdr>
            <w:top w:val="none" w:sz="0" w:space="0" w:color="auto"/>
            <w:left w:val="none" w:sz="0" w:space="0" w:color="auto"/>
            <w:bottom w:val="none" w:sz="0" w:space="0" w:color="auto"/>
            <w:right w:val="none" w:sz="0" w:space="0" w:color="auto"/>
          </w:divBdr>
        </w:div>
        <w:div w:id="1158032916">
          <w:marLeft w:val="0"/>
          <w:marRight w:val="0"/>
          <w:marTop w:val="0"/>
          <w:marBottom w:val="0"/>
          <w:divBdr>
            <w:top w:val="none" w:sz="0" w:space="0" w:color="auto"/>
            <w:left w:val="none" w:sz="0" w:space="0" w:color="auto"/>
            <w:bottom w:val="none" w:sz="0" w:space="0" w:color="auto"/>
            <w:right w:val="none" w:sz="0" w:space="0" w:color="auto"/>
          </w:divBdr>
        </w:div>
        <w:div w:id="1261329026">
          <w:marLeft w:val="0"/>
          <w:marRight w:val="0"/>
          <w:marTop w:val="0"/>
          <w:marBottom w:val="0"/>
          <w:divBdr>
            <w:top w:val="none" w:sz="0" w:space="0" w:color="auto"/>
            <w:left w:val="none" w:sz="0" w:space="0" w:color="auto"/>
            <w:bottom w:val="none" w:sz="0" w:space="0" w:color="auto"/>
            <w:right w:val="none" w:sz="0" w:space="0" w:color="auto"/>
          </w:divBdr>
        </w:div>
        <w:div w:id="1324160145">
          <w:marLeft w:val="0"/>
          <w:marRight w:val="0"/>
          <w:marTop w:val="0"/>
          <w:marBottom w:val="0"/>
          <w:divBdr>
            <w:top w:val="none" w:sz="0" w:space="0" w:color="auto"/>
            <w:left w:val="none" w:sz="0" w:space="0" w:color="auto"/>
            <w:bottom w:val="none" w:sz="0" w:space="0" w:color="auto"/>
            <w:right w:val="none" w:sz="0" w:space="0" w:color="auto"/>
          </w:divBdr>
        </w:div>
        <w:div w:id="65033055">
          <w:marLeft w:val="0"/>
          <w:marRight w:val="0"/>
          <w:marTop w:val="0"/>
          <w:marBottom w:val="0"/>
          <w:divBdr>
            <w:top w:val="none" w:sz="0" w:space="0" w:color="auto"/>
            <w:left w:val="none" w:sz="0" w:space="0" w:color="auto"/>
            <w:bottom w:val="none" w:sz="0" w:space="0" w:color="auto"/>
            <w:right w:val="none" w:sz="0" w:space="0" w:color="auto"/>
          </w:divBdr>
        </w:div>
        <w:div w:id="1954897741">
          <w:marLeft w:val="0"/>
          <w:marRight w:val="0"/>
          <w:marTop w:val="0"/>
          <w:marBottom w:val="0"/>
          <w:divBdr>
            <w:top w:val="none" w:sz="0" w:space="0" w:color="auto"/>
            <w:left w:val="none" w:sz="0" w:space="0" w:color="auto"/>
            <w:bottom w:val="none" w:sz="0" w:space="0" w:color="auto"/>
            <w:right w:val="none" w:sz="0" w:space="0" w:color="auto"/>
          </w:divBdr>
        </w:div>
        <w:div w:id="848568931">
          <w:marLeft w:val="0"/>
          <w:marRight w:val="0"/>
          <w:marTop w:val="0"/>
          <w:marBottom w:val="0"/>
          <w:divBdr>
            <w:top w:val="none" w:sz="0" w:space="0" w:color="auto"/>
            <w:left w:val="none" w:sz="0" w:space="0" w:color="auto"/>
            <w:bottom w:val="none" w:sz="0" w:space="0" w:color="auto"/>
            <w:right w:val="none" w:sz="0" w:space="0" w:color="auto"/>
          </w:divBdr>
        </w:div>
        <w:div w:id="1151217770">
          <w:marLeft w:val="0"/>
          <w:marRight w:val="0"/>
          <w:marTop w:val="0"/>
          <w:marBottom w:val="0"/>
          <w:divBdr>
            <w:top w:val="none" w:sz="0" w:space="0" w:color="auto"/>
            <w:left w:val="none" w:sz="0" w:space="0" w:color="auto"/>
            <w:bottom w:val="none" w:sz="0" w:space="0" w:color="auto"/>
            <w:right w:val="none" w:sz="0" w:space="0" w:color="auto"/>
          </w:divBdr>
        </w:div>
        <w:div w:id="1970090894">
          <w:marLeft w:val="0"/>
          <w:marRight w:val="0"/>
          <w:marTop w:val="0"/>
          <w:marBottom w:val="0"/>
          <w:divBdr>
            <w:top w:val="none" w:sz="0" w:space="0" w:color="auto"/>
            <w:left w:val="none" w:sz="0" w:space="0" w:color="auto"/>
            <w:bottom w:val="none" w:sz="0" w:space="0" w:color="auto"/>
            <w:right w:val="none" w:sz="0" w:space="0" w:color="auto"/>
          </w:divBdr>
        </w:div>
        <w:div w:id="1767774622">
          <w:marLeft w:val="0"/>
          <w:marRight w:val="0"/>
          <w:marTop w:val="0"/>
          <w:marBottom w:val="0"/>
          <w:divBdr>
            <w:top w:val="none" w:sz="0" w:space="0" w:color="auto"/>
            <w:left w:val="none" w:sz="0" w:space="0" w:color="auto"/>
            <w:bottom w:val="none" w:sz="0" w:space="0" w:color="auto"/>
            <w:right w:val="none" w:sz="0" w:space="0" w:color="auto"/>
          </w:divBdr>
        </w:div>
        <w:div w:id="1357579000">
          <w:marLeft w:val="0"/>
          <w:marRight w:val="0"/>
          <w:marTop w:val="0"/>
          <w:marBottom w:val="0"/>
          <w:divBdr>
            <w:top w:val="none" w:sz="0" w:space="0" w:color="auto"/>
            <w:left w:val="none" w:sz="0" w:space="0" w:color="auto"/>
            <w:bottom w:val="none" w:sz="0" w:space="0" w:color="auto"/>
            <w:right w:val="none" w:sz="0" w:space="0" w:color="auto"/>
          </w:divBdr>
        </w:div>
        <w:div w:id="2063284117">
          <w:marLeft w:val="0"/>
          <w:marRight w:val="0"/>
          <w:marTop w:val="0"/>
          <w:marBottom w:val="0"/>
          <w:divBdr>
            <w:top w:val="none" w:sz="0" w:space="0" w:color="auto"/>
            <w:left w:val="none" w:sz="0" w:space="0" w:color="auto"/>
            <w:bottom w:val="none" w:sz="0" w:space="0" w:color="auto"/>
            <w:right w:val="none" w:sz="0" w:space="0" w:color="auto"/>
          </w:divBdr>
        </w:div>
        <w:div w:id="1770815248">
          <w:marLeft w:val="0"/>
          <w:marRight w:val="0"/>
          <w:marTop w:val="0"/>
          <w:marBottom w:val="0"/>
          <w:divBdr>
            <w:top w:val="none" w:sz="0" w:space="0" w:color="auto"/>
            <w:left w:val="none" w:sz="0" w:space="0" w:color="auto"/>
            <w:bottom w:val="none" w:sz="0" w:space="0" w:color="auto"/>
            <w:right w:val="none" w:sz="0" w:space="0" w:color="auto"/>
          </w:divBdr>
        </w:div>
        <w:div w:id="1185900609">
          <w:marLeft w:val="0"/>
          <w:marRight w:val="0"/>
          <w:marTop w:val="0"/>
          <w:marBottom w:val="0"/>
          <w:divBdr>
            <w:top w:val="none" w:sz="0" w:space="0" w:color="auto"/>
            <w:left w:val="none" w:sz="0" w:space="0" w:color="auto"/>
            <w:bottom w:val="none" w:sz="0" w:space="0" w:color="auto"/>
            <w:right w:val="none" w:sz="0" w:space="0" w:color="auto"/>
          </w:divBdr>
        </w:div>
        <w:div w:id="482350949">
          <w:marLeft w:val="0"/>
          <w:marRight w:val="0"/>
          <w:marTop w:val="0"/>
          <w:marBottom w:val="0"/>
          <w:divBdr>
            <w:top w:val="none" w:sz="0" w:space="0" w:color="auto"/>
            <w:left w:val="none" w:sz="0" w:space="0" w:color="auto"/>
            <w:bottom w:val="none" w:sz="0" w:space="0" w:color="auto"/>
            <w:right w:val="none" w:sz="0" w:space="0" w:color="auto"/>
          </w:divBdr>
        </w:div>
        <w:div w:id="2053192824">
          <w:marLeft w:val="0"/>
          <w:marRight w:val="0"/>
          <w:marTop w:val="0"/>
          <w:marBottom w:val="0"/>
          <w:divBdr>
            <w:top w:val="none" w:sz="0" w:space="0" w:color="auto"/>
            <w:left w:val="none" w:sz="0" w:space="0" w:color="auto"/>
            <w:bottom w:val="none" w:sz="0" w:space="0" w:color="auto"/>
            <w:right w:val="none" w:sz="0" w:space="0" w:color="auto"/>
          </w:divBdr>
        </w:div>
        <w:div w:id="1649818273">
          <w:marLeft w:val="0"/>
          <w:marRight w:val="0"/>
          <w:marTop w:val="0"/>
          <w:marBottom w:val="0"/>
          <w:divBdr>
            <w:top w:val="none" w:sz="0" w:space="0" w:color="auto"/>
            <w:left w:val="none" w:sz="0" w:space="0" w:color="auto"/>
            <w:bottom w:val="none" w:sz="0" w:space="0" w:color="auto"/>
            <w:right w:val="none" w:sz="0" w:space="0" w:color="auto"/>
          </w:divBdr>
        </w:div>
        <w:div w:id="1572229367">
          <w:marLeft w:val="0"/>
          <w:marRight w:val="0"/>
          <w:marTop w:val="0"/>
          <w:marBottom w:val="0"/>
          <w:divBdr>
            <w:top w:val="none" w:sz="0" w:space="0" w:color="auto"/>
            <w:left w:val="none" w:sz="0" w:space="0" w:color="auto"/>
            <w:bottom w:val="none" w:sz="0" w:space="0" w:color="auto"/>
            <w:right w:val="none" w:sz="0" w:space="0" w:color="auto"/>
          </w:divBdr>
        </w:div>
        <w:div w:id="782765500">
          <w:marLeft w:val="0"/>
          <w:marRight w:val="0"/>
          <w:marTop w:val="0"/>
          <w:marBottom w:val="0"/>
          <w:divBdr>
            <w:top w:val="none" w:sz="0" w:space="0" w:color="auto"/>
            <w:left w:val="none" w:sz="0" w:space="0" w:color="auto"/>
            <w:bottom w:val="none" w:sz="0" w:space="0" w:color="auto"/>
            <w:right w:val="none" w:sz="0" w:space="0" w:color="auto"/>
          </w:divBdr>
        </w:div>
        <w:div w:id="1921941073">
          <w:marLeft w:val="0"/>
          <w:marRight w:val="0"/>
          <w:marTop w:val="0"/>
          <w:marBottom w:val="0"/>
          <w:divBdr>
            <w:top w:val="none" w:sz="0" w:space="0" w:color="auto"/>
            <w:left w:val="none" w:sz="0" w:space="0" w:color="auto"/>
            <w:bottom w:val="none" w:sz="0" w:space="0" w:color="auto"/>
            <w:right w:val="none" w:sz="0" w:space="0" w:color="auto"/>
          </w:divBdr>
        </w:div>
        <w:div w:id="150558328">
          <w:marLeft w:val="0"/>
          <w:marRight w:val="0"/>
          <w:marTop w:val="0"/>
          <w:marBottom w:val="0"/>
          <w:divBdr>
            <w:top w:val="none" w:sz="0" w:space="0" w:color="auto"/>
            <w:left w:val="none" w:sz="0" w:space="0" w:color="auto"/>
            <w:bottom w:val="none" w:sz="0" w:space="0" w:color="auto"/>
            <w:right w:val="none" w:sz="0" w:space="0" w:color="auto"/>
          </w:divBdr>
        </w:div>
        <w:div w:id="1329555267">
          <w:marLeft w:val="0"/>
          <w:marRight w:val="0"/>
          <w:marTop w:val="0"/>
          <w:marBottom w:val="0"/>
          <w:divBdr>
            <w:top w:val="none" w:sz="0" w:space="0" w:color="auto"/>
            <w:left w:val="none" w:sz="0" w:space="0" w:color="auto"/>
            <w:bottom w:val="none" w:sz="0" w:space="0" w:color="auto"/>
            <w:right w:val="none" w:sz="0" w:space="0" w:color="auto"/>
          </w:divBdr>
        </w:div>
        <w:div w:id="435296687">
          <w:marLeft w:val="0"/>
          <w:marRight w:val="0"/>
          <w:marTop w:val="0"/>
          <w:marBottom w:val="0"/>
          <w:divBdr>
            <w:top w:val="none" w:sz="0" w:space="0" w:color="auto"/>
            <w:left w:val="none" w:sz="0" w:space="0" w:color="auto"/>
            <w:bottom w:val="none" w:sz="0" w:space="0" w:color="auto"/>
            <w:right w:val="none" w:sz="0" w:space="0" w:color="auto"/>
          </w:divBdr>
        </w:div>
        <w:div w:id="1776096181">
          <w:marLeft w:val="0"/>
          <w:marRight w:val="0"/>
          <w:marTop w:val="0"/>
          <w:marBottom w:val="0"/>
          <w:divBdr>
            <w:top w:val="none" w:sz="0" w:space="0" w:color="auto"/>
            <w:left w:val="none" w:sz="0" w:space="0" w:color="auto"/>
            <w:bottom w:val="none" w:sz="0" w:space="0" w:color="auto"/>
            <w:right w:val="none" w:sz="0" w:space="0" w:color="auto"/>
          </w:divBdr>
        </w:div>
        <w:div w:id="278149620">
          <w:marLeft w:val="0"/>
          <w:marRight w:val="0"/>
          <w:marTop w:val="0"/>
          <w:marBottom w:val="0"/>
          <w:divBdr>
            <w:top w:val="none" w:sz="0" w:space="0" w:color="auto"/>
            <w:left w:val="none" w:sz="0" w:space="0" w:color="auto"/>
            <w:bottom w:val="none" w:sz="0" w:space="0" w:color="auto"/>
            <w:right w:val="none" w:sz="0" w:space="0" w:color="auto"/>
          </w:divBdr>
        </w:div>
        <w:div w:id="1709913019">
          <w:marLeft w:val="0"/>
          <w:marRight w:val="0"/>
          <w:marTop w:val="0"/>
          <w:marBottom w:val="0"/>
          <w:divBdr>
            <w:top w:val="none" w:sz="0" w:space="0" w:color="auto"/>
            <w:left w:val="none" w:sz="0" w:space="0" w:color="auto"/>
            <w:bottom w:val="none" w:sz="0" w:space="0" w:color="auto"/>
            <w:right w:val="none" w:sz="0" w:space="0" w:color="auto"/>
          </w:divBdr>
        </w:div>
        <w:div w:id="788359064">
          <w:marLeft w:val="0"/>
          <w:marRight w:val="0"/>
          <w:marTop w:val="0"/>
          <w:marBottom w:val="0"/>
          <w:divBdr>
            <w:top w:val="none" w:sz="0" w:space="0" w:color="auto"/>
            <w:left w:val="none" w:sz="0" w:space="0" w:color="auto"/>
            <w:bottom w:val="none" w:sz="0" w:space="0" w:color="auto"/>
            <w:right w:val="none" w:sz="0" w:space="0" w:color="auto"/>
          </w:divBdr>
        </w:div>
        <w:div w:id="1791970038">
          <w:marLeft w:val="0"/>
          <w:marRight w:val="0"/>
          <w:marTop w:val="0"/>
          <w:marBottom w:val="0"/>
          <w:divBdr>
            <w:top w:val="none" w:sz="0" w:space="0" w:color="auto"/>
            <w:left w:val="none" w:sz="0" w:space="0" w:color="auto"/>
            <w:bottom w:val="none" w:sz="0" w:space="0" w:color="auto"/>
            <w:right w:val="none" w:sz="0" w:space="0" w:color="auto"/>
          </w:divBdr>
        </w:div>
        <w:div w:id="1793400847">
          <w:marLeft w:val="0"/>
          <w:marRight w:val="0"/>
          <w:marTop w:val="0"/>
          <w:marBottom w:val="0"/>
          <w:divBdr>
            <w:top w:val="none" w:sz="0" w:space="0" w:color="auto"/>
            <w:left w:val="none" w:sz="0" w:space="0" w:color="auto"/>
            <w:bottom w:val="none" w:sz="0" w:space="0" w:color="auto"/>
            <w:right w:val="none" w:sz="0" w:space="0" w:color="auto"/>
          </w:divBdr>
        </w:div>
        <w:div w:id="1651902567">
          <w:marLeft w:val="0"/>
          <w:marRight w:val="0"/>
          <w:marTop w:val="0"/>
          <w:marBottom w:val="0"/>
          <w:divBdr>
            <w:top w:val="none" w:sz="0" w:space="0" w:color="auto"/>
            <w:left w:val="none" w:sz="0" w:space="0" w:color="auto"/>
            <w:bottom w:val="none" w:sz="0" w:space="0" w:color="auto"/>
            <w:right w:val="none" w:sz="0" w:space="0" w:color="auto"/>
          </w:divBdr>
        </w:div>
        <w:div w:id="1757357096">
          <w:marLeft w:val="0"/>
          <w:marRight w:val="0"/>
          <w:marTop w:val="0"/>
          <w:marBottom w:val="0"/>
          <w:divBdr>
            <w:top w:val="none" w:sz="0" w:space="0" w:color="auto"/>
            <w:left w:val="none" w:sz="0" w:space="0" w:color="auto"/>
            <w:bottom w:val="none" w:sz="0" w:space="0" w:color="auto"/>
            <w:right w:val="none" w:sz="0" w:space="0" w:color="auto"/>
          </w:divBdr>
        </w:div>
        <w:div w:id="667052571">
          <w:marLeft w:val="0"/>
          <w:marRight w:val="0"/>
          <w:marTop w:val="0"/>
          <w:marBottom w:val="0"/>
          <w:divBdr>
            <w:top w:val="none" w:sz="0" w:space="0" w:color="auto"/>
            <w:left w:val="none" w:sz="0" w:space="0" w:color="auto"/>
            <w:bottom w:val="none" w:sz="0" w:space="0" w:color="auto"/>
            <w:right w:val="none" w:sz="0" w:space="0" w:color="auto"/>
          </w:divBdr>
        </w:div>
        <w:div w:id="1188063935">
          <w:marLeft w:val="0"/>
          <w:marRight w:val="0"/>
          <w:marTop w:val="0"/>
          <w:marBottom w:val="0"/>
          <w:divBdr>
            <w:top w:val="none" w:sz="0" w:space="0" w:color="auto"/>
            <w:left w:val="none" w:sz="0" w:space="0" w:color="auto"/>
            <w:bottom w:val="none" w:sz="0" w:space="0" w:color="auto"/>
            <w:right w:val="none" w:sz="0" w:space="0" w:color="auto"/>
          </w:divBdr>
        </w:div>
        <w:div w:id="1332678319">
          <w:marLeft w:val="0"/>
          <w:marRight w:val="0"/>
          <w:marTop w:val="0"/>
          <w:marBottom w:val="0"/>
          <w:divBdr>
            <w:top w:val="none" w:sz="0" w:space="0" w:color="auto"/>
            <w:left w:val="none" w:sz="0" w:space="0" w:color="auto"/>
            <w:bottom w:val="none" w:sz="0" w:space="0" w:color="auto"/>
            <w:right w:val="none" w:sz="0" w:space="0" w:color="auto"/>
          </w:divBdr>
        </w:div>
        <w:div w:id="1617642779">
          <w:marLeft w:val="0"/>
          <w:marRight w:val="0"/>
          <w:marTop w:val="0"/>
          <w:marBottom w:val="0"/>
          <w:divBdr>
            <w:top w:val="none" w:sz="0" w:space="0" w:color="auto"/>
            <w:left w:val="none" w:sz="0" w:space="0" w:color="auto"/>
            <w:bottom w:val="none" w:sz="0" w:space="0" w:color="auto"/>
            <w:right w:val="none" w:sz="0" w:space="0" w:color="auto"/>
          </w:divBdr>
        </w:div>
        <w:div w:id="1230506553">
          <w:marLeft w:val="0"/>
          <w:marRight w:val="0"/>
          <w:marTop w:val="0"/>
          <w:marBottom w:val="0"/>
          <w:divBdr>
            <w:top w:val="none" w:sz="0" w:space="0" w:color="auto"/>
            <w:left w:val="none" w:sz="0" w:space="0" w:color="auto"/>
            <w:bottom w:val="none" w:sz="0" w:space="0" w:color="auto"/>
            <w:right w:val="none" w:sz="0" w:space="0" w:color="auto"/>
          </w:divBdr>
        </w:div>
        <w:div w:id="1164711248">
          <w:marLeft w:val="0"/>
          <w:marRight w:val="0"/>
          <w:marTop w:val="0"/>
          <w:marBottom w:val="0"/>
          <w:divBdr>
            <w:top w:val="none" w:sz="0" w:space="0" w:color="auto"/>
            <w:left w:val="none" w:sz="0" w:space="0" w:color="auto"/>
            <w:bottom w:val="none" w:sz="0" w:space="0" w:color="auto"/>
            <w:right w:val="none" w:sz="0" w:space="0" w:color="auto"/>
          </w:divBdr>
        </w:div>
        <w:div w:id="570388470">
          <w:marLeft w:val="0"/>
          <w:marRight w:val="0"/>
          <w:marTop w:val="0"/>
          <w:marBottom w:val="0"/>
          <w:divBdr>
            <w:top w:val="none" w:sz="0" w:space="0" w:color="auto"/>
            <w:left w:val="none" w:sz="0" w:space="0" w:color="auto"/>
            <w:bottom w:val="none" w:sz="0" w:space="0" w:color="auto"/>
            <w:right w:val="none" w:sz="0" w:space="0" w:color="auto"/>
          </w:divBdr>
        </w:div>
        <w:div w:id="1623149156">
          <w:marLeft w:val="0"/>
          <w:marRight w:val="0"/>
          <w:marTop w:val="0"/>
          <w:marBottom w:val="0"/>
          <w:divBdr>
            <w:top w:val="none" w:sz="0" w:space="0" w:color="auto"/>
            <w:left w:val="none" w:sz="0" w:space="0" w:color="auto"/>
            <w:bottom w:val="none" w:sz="0" w:space="0" w:color="auto"/>
            <w:right w:val="none" w:sz="0" w:space="0" w:color="auto"/>
          </w:divBdr>
        </w:div>
        <w:div w:id="63525886">
          <w:marLeft w:val="0"/>
          <w:marRight w:val="0"/>
          <w:marTop w:val="0"/>
          <w:marBottom w:val="0"/>
          <w:divBdr>
            <w:top w:val="none" w:sz="0" w:space="0" w:color="auto"/>
            <w:left w:val="none" w:sz="0" w:space="0" w:color="auto"/>
            <w:bottom w:val="none" w:sz="0" w:space="0" w:color="auto"/>
            <w:right w:val="none" w:sz="0" w:space="0" w:color="auto"/>
          </w:divBdr>
        </w:div>
        <w:div w:id="1577321085">
          <w:marLeft w:val="0"/>
          <w:marRight w:val="0"/>
          <w:marTop w:val="0"/>
          <w:marBottom w:val="0"/>
          <w:divBdr>
            <w:top w:val="none" w:sz="0" w:space="0" w:color="auto"/>
            <w:left w:val="none" w:sz="0" w:space="0" w:color="auto"/>
            <w:bottom w:val="none" w:sz="0" w:space="0" w:color="auto"/>
            <w:right w:val="none" w:sz="0" w:space="0" w:color="auto"/>
          </w:divBdr>
        </w:div>
        <w:div w:id="2124306040">
          <w:marLeft w:val="0"/>
          <w:marRight w:val="0"/>
          <w:marTop w:val="0"/>
          <w:marBottom w:val="0"/>
          <w:divBdr>
            <w:top w:val="none" w:sz="0" w:space="0" w:color="auto"/>
            <w:left w:val="none" w:sz="0" w:space="0" w:color="auto"/>
            <w:bottom w:val="none" w:sz="0" w:space="0" w:color="auto"/>
            <w:right w:val="none" w:sz="0" w:space="0" w:color="auto"/>
          </w:divBdr>
        </w:div>
        <w:div w:id="1480726577">
          <w:marLeft w:val="0"/>
          <w:marRight w:val="0"/>
          <w:marTop w:val="0"/>
          <w:marBottom w:val="0"/>
          <w:divBdr>
            <w:top w:val="none" w:sz="0" w:space="0" w:color="auto"/>
            <w:left w:val="none" w:sz="0" w:space="0" w:color="auto"/>
            <w:bottom w:val="none" w:sz="0" w:space="0" w:color="auto"/>
            <w:right w:val="none" w:sz="0" w:space="0" w:color="auto"/>
          </w:divBdr>
        </w:div>
        <w:div w:id="284622882">
          <w:marLeft w:val="0"/>
          <w:marRight w:val="0"/>
          <w:marTop w:val="0"/>
          <w:marBottom w:val="0"/>
          <w:divBdr>
            <w:top w:val="none" w:sz="0" w:space="0" w:color="auto"/>
            <w:left w:val="none" w:sz="0" w:space="0" w:color="auto"/>
            <w:bottom w:val="none" w:sz="0" w:space="0" w:color="auto"/>
            <w:right w:val="none" w:sz="0" w:space="0" w:color="auto"/>
          </w:divBdr>
        </w:div>
        <w:div w:id="542639820">
          <w:marLeft w:val="0"/>
          <w:marRight w:val="0"/>
          <w:marTop w:val="0"/>
          <w:marBottom w:val="0"/>
          <w:divBdr>
            <w:top w:val="none" w:sz="0" w:space="0" w:color="auto"/>
            <w:left w:val="none" w:sz="0" w:space="0" w:color="auto"/>
            <w:bottom w:val="none" w:sz="0" w:space="0" w:color="auto"/>
            <w:right w:val="none" w:sz="0" w:space="0" w:color="auto"/>
          </w:divBdr>
        </w:div>
        <w:div w:id="1364792664">
          <w:marLeft w:val="0"/>
          <w:marRight w:val="0"/>
          <w:marTop w:val="0"/>
          <w:marBottom w:val="0"/>
          <w:divBdr>
            <w:top w:val="none" w:sz="0" w:space="0" w:color="auto"/>
            <w:left w:val="none" w:sz="0" w:space="0" w:color="auto"/>
            <w:bottom w:val="none" w:sz="0" w:space="0" w:color="auto"/>
            <w:right w:val="none" w:sz="0" w:space="0" w:color="auto"/>
          </w:divBdr>
        </w:div>
        <w:div w:id="1709455966">
          <w:marLeft w:val="0"/>
          <w:marRight w:val="0"/>
          <w:marTop w:val="0"/>
          <w:marBottom w:val="0"/>
          <w:divBdr>
            <w:top w:val="none" w:sz="0" w:space="0" w:color="auto"/>
            <w:left w:val="none" w:sz="0" w:space="0" w:color="auto"/>
            <w:bottom w:val="none" w:sz="0" w:space="0" w:color="auto"/>
            <w:right w:val="none" w:sz="0" w:space="0" w:color="auto"/>
          </w:divBdr>
        </w:div>
        <w:div w:id="1393236006">
          <w:marLeft w:val="0"/>
          <w:marRight w:val="0"/>
          <w:marTop w:val="0"/>
          <w:marBottom w:val="0"/>
          <w:divBdr>
            <w:top w:val="none" w:sz="0" w:space="0" w:color="auto"/>
            <w:left w:val="none" w:sz="0" w:space="0" w:color="auto"/>
            <w:bottom w:val="none" w:sz="0" w:space="0" w:color="auto"/>
            <w:right w:val="none" w:sz="0" w:space="0" w:color="auto"/>
          </w:divBdr>
        </w:div>
        <w:div w:id="1785996875">
          <w:marLeft w:val="0"/>
          <w:marRight w:val="0"/>
          <w:marTop w:val="0"/>
          <w:marBottom w:val="0"/>
          <w:divBdr>
            <w:top w:val="none" w:sz="0" w:space="0" w:color="auto"/>
            <w:left w:val="none" w:sz="0" w:space="0" w:color="auto"/>
            <w:bottom w:val="none" w:sz="0" w:space="0" w:color="auto"/>
            <w:right w:val="none" w:sz="0" w:space="0" w:color="auto"/>
          </w:divBdr>
        </w:div>
        <w:div w:id="710692956">
          <w:marLeft w:val="0"/>
          <w:marRight w:val="0"/>
          <w:marTop w:val="0"/>
          <w:marBottom w:val="0"/>
          <w:divBdr>
            <w:top w:val="none" w:sz="0" w:space="0" w:color="auto"/>
            <w:left w:val="none" w:sz="0" w:space="0" w:color="auto"/>
            <w:bottom w:val="none" w:sz="0" w:space="0" w:color="auto"/>
            <w:right w:val="none" w:sz="0" w:space="0" w:color="auto"/>
          </w:divBdr>
        </w:div>
        <w:div w:id="1756659639">
          <w:marLeft w:val="0"/>
          <w:marRight w:val="0"/>
          <w:marTop w:val="0"/>
          <w:marBottom w:val="0"/>
          <w:divBdr>
            <w:top w:val="none" w:sz="0" w:space="0" w:color="auto"/>
            <w:left w:val="none" w:sz="0" w:space="0" w:color="auto"/>
            <w:bottom w:val="none" w:sz="0" w:space="0" w:color="auto"/>
            <w:right w:val="none" w:sz="0" w:space="0" w:color="auto"/>
          </w:divBdr>
        </w:div>
        <w:div w:id="842088342">
          <w:marLeft w:val="0"/>
          <w:marRight w:val="0"/>
          <w:marTop w:val="0"/>
          <w:marBottom w:val="0"/>
          <w:divBdr>
            <w:top w:val="none" w:sz="0" w:space="0" w:color="auto"/>
            <w:left w:val="none" w:sz="0" w:space="0" w:color="auto"/>
            <w:bottom w:val="none" w:sz="0" w:space="0" w:color="auto"/>
            <w:right w:val="none" w:sz="0" w:space="0" w:color="auto"/>
          </w:divBdr>
        </w:div>
        <w:div w:id="1940986235">
          <w:marLeft w:val="0"/>
          <w:marRight w:val="0"/>
          <w:marTop w:val="0"/>
          <w:marBottom w:val="0"/>
          <w:divBdr>
            <w:top w:val="none" w:sz="0" w:space="0" w:color="auto"/>
            <w:left w:val="none" w:sz="0" w:space="0" w:color="auto"/>
            <w:bottom w:val="none" w:sz="0" w:space="0" w:color="auto"/>
            <w:right w:val="none" w:sz="0" w:space="0" w:color="auto"/>
          </w:divBdr>
        </w:div>
        <w:div w:id="331378356">
          <w:marLeft w:val="0"/>
          <w:marRight w:val="0"/>
          <w:marTop w:val="0"/>
          <w:marBottom w:val="0"/>
          <w:divBdr>
            <w:top w:val="none" w:sz="0" w:space="0" w:color="auto"/>
            <w:left w:val="none" w:sz="0" w:space="0" w:color="auto"/>
            <w:bottom w:val="none" w:sz="0" w:space="0" w:color="auto"/>
            <w:right w:val="none" w:sz="0" w:space="0" w:color="auto"/>
          </w:divBdr>
        </w:div>
        <w:div w:id="568619687">
          <w:marLeft w:val="0"/>
          <w:marRight w:val="0"/>
          <w:marTop w:val="0"/>
          <w:marBottom w:val="0"/>
          <w:divBdr>
            <w:top w:val="none" w:sz="0" w:space="0" w:color="auto"/>
            <w:left w:val="none" w:sz="0" w:space="0" w:color="auto"/>
            <w:bottom w:val="none" w:sz="0" w:space="0" w:color="auto"/>
            <w:right w:val="none" w:sz="0" w:space="0" w:color="auto"/>
          </w:divBdr>
        </w:div>
        <w:div w:id="398598503">
          <w:marLeft w:val="0"/>
          <w:marRight w:val="0"/>
          <w:marTop w:val="0"/>
          <w:marBottom w:val="0"/>
          <w:divBdr>
            <w:top w:val="none" w:sz="0" w:space="0" w:color="auto"/>
            <w:left w:val="none" w:sz="0" w:space="0" w:color="auto"/>
            <w:bottom w:val="none" w:sz="0" w:space="0" w:color="auto"/>
            <w:right w:val="none" w:sz="0" w:space="0" w:color="auto"/>
          </w:divBdr>
        </w:div>
        <w:div w:id="190800393">
          <w:marLeft w:val="0"/>
          <w:marRight w:val="0"/>
          <w:marTop w:val="0"/>
          <w:marBottom w:val="0"/>
          <w:divBdr>
            <w:top w:val="none" w:sz="0" w:space="0" w:color="auto"/>
            <w:left w:val="none" w:sz="0" w:space="0" w:color="auto"/>
            <w:bottom w:val="none" w:sz="0" w:space="0" w:color="auto"/>
            <w:right w:val="none" w:sz="0" w:space="0" w:color="auto"/>
          </w:divBdr>
        </w:div>
        <w:div w:id="531378521">
          <w:marLeft w:val="0"/>
          <w:marRight w:val="0"/>
          <w:marTop w:val="0"/>
          <w:marBottom w:val="0"/>
          <w:divBdr>
            <w:top w:val="none" w:sz="0" w:space="0" w:color="auto"/>
            <w:left w:val="none" w:sz="0" w:space="0" w:color="auto"/>
            <w:bottom w:val="none" w:sz="0" w:space="0" w:color="auto"/>
            <w:right w:val="none" w:sz="0" w:space="0" w:color="auto"/>
          </w:divBdr>
        </w:div>
        <w:div w:id="750735117">
          <w:marLeft w:val="0"/>
          <w:marRight w:val="0"/>
          <w:marTop w:val="0"/>
          <w:marBottom w:val="0"/>
          <w:divBdr>
            <w:top w:val="none" w:sz="0" w:space="0" w:color="auto"/>
            <w:left w:val="none" w:sz="0" w:space="0" w:color="auto"/>
            <w:bottom w:val="none" w:sz="0" w:space="0" w:color="auto"/>
            <w:right w:val="none" w:sz="0" w:space="0" w:color="auto"/>
          </w:divBdr>
        </w:div>
        <w:div w:id="1407998338">
          <w:marLeft w:val="0"/>
          <w:marRight w:val="0"/>
          <w:marTop w:val="0"/>
          <w:marBottom w:val="0"/>
          <w:divBdr>
            <w:top w:val="none" w:sz="0" w:space="0" w:color="auto"/>
            <w:left w:val="none" w:sz="0" w:space="0" w:color="auto"/>
            <w:bottom w:val="none" w:sz="0" w:space="0" w:color="auto"/>
            <w:right w:val="none" w:sz="0" w:space="0" w:color="auto"/>
          </w:divBdr>
        </w:div>
        <w:div w:id="1839539844">
          <w:marLeft w:val="0"/>
          <w:marRight w:val="0"/>
          <w:marTop w:val="0"/>
          <w:marBottom w:val="0"/>
          <w:divBdr>
            <w:top w:val="none" w:sz="0" w:space="0" w:color="auto"/>
            <w:left w:val="none" w:sz="0" w:space="0" w:color="auto"/>
            <w:bottom w:val="none" w:sz="0" w:space="0" w:color="auto"/>
            <w:right w:val="none" w:sz="0" w:space="0" w:color="auto"/>
          </w:divBdr>
        </w:div>
        <w:div w:id="655914998">
          <w:marLeft w:val="0"/>
          <w:marRight w:val="0"/>
          <w:marTop w:val="0"/>
          <w:marBottom w:val="0"/>
          <w:divBdr>
            <w:top w:val="none" w:sz="0" w:space="0" w:color="auto"/>
            <w:left w:val="none" w:sz="0" w:space="0" w:color="auto"/>
            <w:bottom w:val="none" w:sz="0" w:space="0" w:color="auto"/>
            <w:right w:val="none" w:sz="0" w:space="0" w:color="auto"/>
          </w:divBdr>
        </w:div>
        <w:div w:id="1235555640">
          <w:marLeft w:val="0"/>
          <w:marRight w:val="0"/>
          <w:marTop w:val="0"/>
          <w:marBottom w:val="0"/>
          <w:divBdr>
            <w:top w:val="none" w:sz="0" w:space="0" w:color="auto"/>
            <w:left w:val="none" w:sz="0" w:space="0" w:color="auto"/>
            <w:bottom w:val="none" w:sz="0" w:space="0" w:color="auto"/>
            <w:right w:val="none" w:sz="0" w:space="0" w:color="auto"/>
          </w:divBdr>
        </w:div>
        <w:div w:id="566109360">
          <w:marLeft w:val="0"/>
          <w:marRight w:val="0"/>
          <w:marTop w:val="0"/>
          <w:marBottom w:val="0"/>
          <w:divBdr>
            <w:top w:val="none" w:sz="0" w:space="0" w:color="auto"/>
            <w:left w:val="none" w:sz="0" w:space="0" w:color="auto"/>
            <w:bottom w:val="none" w:sz="0" w:space="0" w:color="auto"/>
            <w:right w:val="none" w:sz="0" w:space="0" w:color="auto"/>
          </w:divBdr>
        </w:div>
        <w:div w:id="2004433191">
          <w:marLeft w:val="0"/>
          <w:marRight w:val="0"/>
          <w:marTop w:val="0"/>
          <w:marBottom w:val="0"/>
          <w:divBdr>
            <w:top w:val="none" w:sz="0" w:space="0" w:color="auto"/>
            <w:left w:val="none" w:sz="0" w:space="0" w:color="auto"/>
            <w:bottom w:val="none" w:sz="0" w:space="0" w:color="auto"/>
            <w:right w:val="none" w:sz="0" w:space="0" w:color="auto"/>
          </w:divBdr>
        </w:div>
        <w:div w:id="706106224">
          <w:marLeft w:val="0"/>
          <w:marRight w:val="0"/>
          <w:marTop w:val="0"/>
          <w:marBottom w:val="0"/>
          <w:divBdr>
            <w:top w:val="none" w:sz="0" w:space="0" w:color="auto"/>
            <w:left w:val="none" w:sz="0" w:space="0" w:color="auto"/>
            <w:bottom w:val="none" w:sz="0" w:space="0" w:color="auto"/>
            <w:right w:val="none" w:sz="0" w:space="0" w:color="auto"/>
          </w:divBdr>
        </w:div>
        <w:div w:id="295835288">
          <w:marLeft w:val="0"/>
          <w:marRight w:val="0"/>
          <w:marTop w:val="0"/>
          <w:marBottom w:val="0"/>
          <w:divBdr>
            <w:top w:val="none" w:sz="0" w:space="0" w:color="auto"/>
            <w:left w:val="none" w:sz="0" w:space="0" w:color="auto"/>
            <w:bottom w:val="none" w:sz="0" w:space="0" w:color="auto"/>
            <w:right w:val="none" w:sz="0" w:space="0" w:color="auto"/>
          </w:divBdr>
        </w:div>
        <w:div w:id="1701979486">
          <w:marLeft w:val="0"/>
          <w:marRight w:val="0"/>
          <w:marTop w:val="0"/>
          <w:marBottom w:val="0"/>
          <w:divBdr>
            <w:top w:val="none" w:sz="0" w:space="0" w:color="auto"/>
            <w:left w:val="none" w:sz="0" w:space="0" w:color="auto"/>
            <w:bottom w:val="none" w:sz="0" w:space="0" w:color="auto"/>
            <w:right w:val="none" w:sz="0" w:space="0" w:color="auto"/>
          </w:divBdr>
        </w:div>
        <w:div w:id="325404752">
          <w:marLeft w:val="0"/>
          <w:marRight w:val="0"/>
          <w:marTop w:val="0"/>
          <w:marBottom w:val="0"/>
          <w:divBdr>
            <w:top w:val="none" w:sz="0" w:space="0" w:color="auto"/>
            <w:left w:val="none" w:sz="0" w:space="0" w:color="auto"/>
            <w:bottom w:val="none" w:sz="0" w:space="0" w:color="auto"/>
            <w:right w:val="none" w:sz="0" w:space="0" w:color="auto"/>
          </w:divBdr>
        </w:div>
        <w:div w:id="1258834352">
          <w:marLeft w:val="0"/>
          <w:marRight w:val="0"/>
          <w:marTop w:val="0"/>
          <w:marBottom w:val="0"/>
          <w:divBdr>
            <w:top w:val="none" w:sz="0" w:space="0" w:color="auto"/>
            <w:left w:val="none" w:sz="0" w:space="0" w:color="auto"/>
            <w:bottom w:val="none" w:sz="0" w:space="0" w:color="auto"/>
            <w:right w:val="none" w:sz="0" w:space="0" w:color="auto"/>
          </w:divBdr>
        </w:div>
        <w:div w:id="143739223">
          <w:marLeft w:val="0"/>
          <w:marRight w:val="0"/>
          <w:marTop w:val="0"/>
          <w:marBottom w:val="0"/>
          <w:divBdr>
            <w:top w:val="none" w:sz="0" w:space="0" w:color="auto"/>
            <w:left w:val="none" w:sz="0" w:space="0" w:color="auto"/>
            <w:bottom w:val="none" w:sz="0" w:space="0" w:color="auto"/>
            <w:right w:val="none" w:sz="0" w:space="0" w:color="auto"/>
          </w:divBdr>
        </w:div>
        <w:div w:id="734013063">
          <w:marLeft w:val="0"/>
          <w:marRight w:val="0"/>
          <w:marTop w:val="0"/>
          <w:marBottom w:val="0"/>
          <w:divBdr>
            <w:top w:val="none" w:sz="0" w:space="0" w:color="auto"/>
            <w:left w:val="none" w:sz="0" w:space="0" w:color="auto"/>
            <w:bottom w:val="none" w:sz="0" w:space="0" w:color="auto"/>
            <w:right w:val="none" w:sz="0" w:space="0" w:color="auto"/>
          </w:divBdr>
        </w:div>
        <w:div w:id="436297844">
          <w:marLeft w:val="0"/>
          <w:marRight w:val="0"/>
          <w:marTop w:val="0"/>
          <w:marBottom w:val="0"/>
          <w:divBdr>
            <w:top w:val="none" w:sz="0" w:space="0" w:color="auto"/>
            <w:left w:val="none" w:sz="0" w:space="0" w:color="auto"/>
            <w:bottom w:val="none" w:sz="0" w:space="0" w:color="auto"/>
            <w:right w:val="none" w:sz="0" w:space="0" w:color="auto"/>
          </w:divBdr>
        </w:div>
        <w:div w:id="1938246991">
          <w:marLeft w:val="0"/>
          <w:marRight w:val="0"/>
          <w:marTop w:val="0"/>
          <w:marBottom w:val="0"/>
          <w:divBdr>
            <w:top w:val="none" w:sz="0" w:space="0" w:color="auto"/>
            <w:left w:val="none" w:sz="0" w:space="0" w:color="auto"/>
            <w:bottom w:val="none" w:sz="0" w:space="0" w:color="auto"/>
            <w:right w:val="none" w:sz="0" w:space="0" w:color="auto"/>
          </w:divBdr>
        </w:div>
        <w:div w:id="1599409277">
          <w:marLeft w:val="0"/>
          <w:marRight w:val="0"/>
          <w:marTop w:val="0"/>
          <w:marBottom w:val="0"/>
          <w:divBdr>
            <w:top w:val="none" w:sz="0" w:space="0" w:color="auto"/>
            <w:left w:val="none" w:sz="0" w:space="0" w:color="auto"/>
            <w:bottom w:val="none" w:sz="0" w:space="0" w:color="auto"/>
            <w:right w:val="none" w:sz="0" w:space="0" w:color="auto"/>
          </w:divBdr>
        </w:div>
        <w:div w:id="503933886">
          <w:marLeft w:val="0"/>
          <w:marRight w:val="0"/>
          <w:marTop w:val="0"/>
          <w:marBottom w:val="0"/>
          <w:divBdr>
            <w:top w:val="none" w:sz="0" w:space="0" w:color="auto"/>
            <w:left w:val="none" w:sz="0" w:space="0" w:color="auto"/>
            <w:bottom w:val="none" w:sz="0" w:space="0" w:color="auto"/>
            <w:right w:val="none" w:sz="0" w:space="0" w:color="auto"/>
          </w:divBdr>
        </w:div>
        <w:div w:id="303434269">
          <w:marLeft w:val="0"/>
          <w:marRight w:val="0"/>
          <w:marTop w:val="0"/>
          <w:marBottom w:val="0"/>
          <w:divBdr>
            <w:top w:val="none" w:sz="0" w:space="0" w:color="auto"/>
            <w:left w:val="none" w:sz="0" w:space="0" w:color="auto"/>
            <w:bottom w:val="none" w:sz="0" w:space="0" w:color="auto"/>
            <w:right w:val="none" w:sz="0" w:space="0" w:color="auto"/>
          </w:divBdr>
        </w:div>
        <w:div w:id="2064521122">
          <w:marLeft w:val="0"/>
          <w:marRight w:val="0"/>
          <w:marTop w:val="0"/>
          <w:marBottom w:val="0"/>
          <w:divBdr>
            <w:top w:val="none" w:sz="0" w:space="0" w:color="auto"/>
            <w:left w:val="none" w:sz="0" w:space="0" w:color="auto"/>
            <w:bottom w:val="none" w:sz="0" w:space="0" w:color="auto"/>
            <w:right w:val="none" w:sz="0" w:space="0" w:color="auto"/>
          </w:divBdr>
        </w:div>
        <w:div w:id="916327581">
          <w:marLeft w:val="0"/>
          <w:marRight w:val="0"/>
          <w:marTop w:val="0"/>
          <w:marBottom w:val="0"/>
          <w:divBdr>
            <w:top w:val="none" w:sz="0" w:space="0" w:color="auto"/>
            <w:left w:val="none" w:sz="0" w:space="0" w:color="auto"/>
            <w:bottom w:val="none" w:sz="0" w:space="0" w:color="auto"/>
            <w:right w:val="none" w:sz="0" w:space="0" w:color="auto"/>
          </w:divBdr>
        </w:div>
        <w:div w:id="1647078029">
          <w:marLeft w:val="0"/>
          <w:marRight w:val="0"/>
          <w:marTop w:val="0"/>
          <w:marBottom w:val="0"/>
          <w:divBdr>
            <w:top w:val="none" w:sz="0" w:space="0" w:color="auto"/>
            <w:left w:val="none" w:sz="0" w:space="0" w:color="auto"/>
            <w:bottom w:val="none" w:sz="0" w:space="0" w:color="auto"/>
            <w:right w:val="none" w:sz="0" w:space="0" w:color="auto"/>
          </w:divBdr>
        </w:div>
        <w:div w:id="1203981453">
          <w:marLeft w:val="0"/>
          <w:marRight w:val="0"/>
          <w:marTop w:val="0"/>
          <w:marBottom w:val="0"/>
          <w:divBdr>
            <w:top w:val="none" w:sz="0" w:space="0" w:color="auto"/>
            <w:left w:val="none" w:sz="0" w:space="0" w:color="auto"/>
            <w:bottom w:val="none" w:sz="0" w:space="0" w:color="auto"/>
            <w:right w:val="none" w:sz="0" w:space="0" w:color="auto"/>
          </w:divBdr>
        </w:div>
        <w:div w:id="1394695347">
          <w:marLeft w:val="0"/>
          <w:marRight w:val="0"/>
          <w:marTop w:val="0"/>
          <w:marBottom w:val="0"/>
          <w:divBdr>
            <w:top w:val="none" w:sz="0" w:space="0" w:color="auto"/>
            <w:left w:val="none" w:sz="0" w:space="0" w:color="auto"/>
            <w:bottom w:val="none" w:sz="0" w:space="0" w:color="auto"/>
            <w:right w:val="none" w:sz="0" w:space="0" w:color="auto"/>
          </w:divBdr>
        </w:div>
        <w:div w:id="1781099841">
          <w:marLeft w:val="0"/>
          <w:marRight w:val="0"/>
          <w:marTop w:val="0"/>
          <w:marBottom w:val="0"/>
          <w:divBdr>
            <w:top w:val="none" w:sz="0" w:space="0" w:color="auto"/>
            <w:left w:val="none" w:sz="0" w:space="0" w:color="auto"/>
            <w:bottom w:val="none" w:sz="0" w:space="0" w:color="auto"/>
            <w:right w:val="none" w:sz="0" w:space="0" w:color="auto"/>
          </w:divBdr>
        </w:div>
        <w:div w:id="1901553424">
          <w:marLeft w:val="0"/>
          <w:marRight w:val="0"/>
          <w:marTop w:val="0"/>
          <w:marBottom w:val="0"/>
          <w:divBdr>
            <w:top w:val="none" w:sz="0" w:space="0" w:color="auto"/>
            <w:left w:val="none" w:sz="0" w:space="0" w:color="auto"/>
            <w:bottom w:val="none" w:sz="0" w:space="0" w:color="auto"/>
            <w:right w:val="none" w:sz="0" w:space="0" w:color="auto"/>
          </w:divBdr>
        </w:div>
        <w:div w:id="2110735028">
          <w:marLeft w:val="0"/>
          <w:marRight w:val="0"/>
          <w:marTop w:val="0"/>
          <w:marBottom w:val="0"/>
          <w:divBdr>
            <w:top w:val="none" w:sz="0" w:space="0" w:color="auto"/>
            <w:left w:val="none" w:sz="0" w:space="0" w:color="auto"/>
            <w:bottom w:val="none" w:sz="0" w:space="0" w:color="auto"/>
            <w:right w:val="none" w:sz="0" w:space="0" w:color="auto"/>
          </w:divBdr>
        </w:div>
        <w:div w:id="117145239">
          <w:marLeft w:val="0"/>
          <w:marRight w:val="0"/>
          <w:marTop w:val="0"/>
          <w:marBottom w:val="0"/>
          <w:divBdr>
            <w:top w:val="none" w:sz="0" w:space="0" w:color="auto"/>
            <w:left w:val="none" w:sz="0" w:space="0" w:color="auto"/>
            <w:bottom w:val="none" w:sz="0" w:space="0" w:color="auto"/>
            <w:right w:val="none" w:sz="0" w:space="0" w:color="auto"/>
          </w:divBdr>
        </w:div>
        <w:div w:id="461926905">
          <w:marLeft w:val="0"/>
          <w:marRight w:val="0"/>
          <w:marTop w:val="0"/>
          <w:marBottom w:val="0"/>
          <w:divBdr>
            <w:top w:val="none" w:sz="0" w:space="0" w:color="auto"/>
            <w:left w:val="none" w:sz="0" w:space="0" w:color="auto"/>
            <w:bottom w:val="none" w:sz="0" w:space="0" w:color="auto"/>
            <w:right w:val="none" w:sz="0" w:space="0" w:color="auto"/>
          </w:divBdr>
        </w:div>
        <w:div w:id="261038801">
          <w:marLeft w:val="0"/>
          <w:marRight w:val="0"/>
          <w:marTop w:val="0"/>
          <w:marBottom w:val="0"/>
          <w:divBdr>
            <w:top w:val="none" w:sz="0" w:space="0" w:color="auto"/>
            <w:left w:val="none" w:sz="0" w:space="0" w:color="auto"/>
            <w:bottom w:val="none" w:sz="0" w:space="0" w:color="auto"/>
            <w:right w:val="none" w:sz="0" w:space="0" w:color="auto"/>
          </w:divBdr>
        </w:div>
        <w:div w:id="1282876732">
          <w:marLeft w:val="0"/>
          <w:marRight w:val="0"/>
          <w:marTop w:val="0"/>
          <w:marBottom w:val="0"/>
          <w:divBdr>
            <w:top w:val="none" w:sz="0" w:space="0" w:color="auto"/>
            <w:left w:val="none" w:sz="0" w:space="0" w:color="auto"/>
            <w:bottom w:val="none" w:sz="0" w:space="0" w:color="auto"/>
            <w:right w:val="none" w:sz="0" w:space="0" w:color="auto"/>
          </w:divBdr>
        </w:div>
        <w:div w:id="2049917278">
          <w:marLeft w:val="0"/>
          <w:marRight w:val="0"/>
          <w:marTop w:val="0"/>
          <w:marBottom w:val="0"/>
          <w:divBdr>
            <w:top w:val="none" w:sz="0" w:space="0" w:color="auto"/>
            <w:left w:val="none" w:sz="0" w:space="0" w:color="auto"/>
            <w:bottom w:val="none" w:sz="0" w:space="0" w:color="auto"/>
            <w:right w:val="none" w:sz="0" w:space="0" w:color="auto"/>
          </w:divBdr>
        </w:div>
        <w:div w:id="1591085698">
          <w:marLeft w:val="0"/>
          <w:marRight w:val="0"/>
          <w:marTop w:val="0"/>
          <w:marBottom w:val="0"/>
          <w:divBdr>
            <w:top w:val="none" w:sz="0" w:space="0" w:color="auto"/>
            <w:left w:val="none" w:sz="0" w:space="0" w:color="auto"/>
            <w:bottom w:val="none" w:sz="0" w:space="0" w:color="auto"/>
            <w:right w:val="none" w:sz="0" w:space="0" w:color="auto"/>
          </w:divBdr>
        </w:div>
        <w:div w:id="681738185">
          <w:marLeft w:val="0"/>
          <w:marRight w:val="0"/>
          <w:marTop w:val="0"/>
          <w:marBottom w:val="0"/>
          <w:divBdr>
            <w:top w:val="none" w:sz="0" w:space="0" w:color="auto"/>
            <w:left w:val="none" w:sz="0" w:space="0" w:color="auto"/>
            <w:bottom w:val="none" w:sz="0" w:space="0" w:color="auto"/>
            <w:right w:val="none" w:sz="0" w:space="0" w:color="auto"/>
          </w:divBdr>
        </w:div>
        <w:div w:id="1876429456">
          <w:marLeft w:val="0"/>
          <w:marRight w:val="0"/>
          <w:marTop w:val="0"/>
          <w:marBottom w:val="0"/>
          <w:divBdr>
            <w:top w:val="none" w:sz="0" w:space="0" w:color="auto"/>
            <w:left w:val="none" w:sz="0" w:space="0" w:color="auto"/>
            <w:bottom w:val="none" w:sz="0" w:space="0" w:color="auto"/>
            <w:right w:val="none" w:sz="0" w:space="0" w:color="auto"/>
          </w:divBdr>
        </w:div>
        <w:div w:id="1164467056">
          <w:marLeft w:val="0"/>
          <w:marRight w:val="0"/>
          <w:marTop w:val="0"/>
          <w:marBottom w:val="0"/>
          <w:divBdr>
            <w:top w:val="none" w:sz="0" w:space="0" w:color="auto"/>
            <w:left w:val="none" w:sz="0" w:space="0" w:color="auto"/>
            <w:bottom w:val="none" w:sz="0" w:space="0" w:color="auto"/>
            <w:right w:val="none" w:sz="0" w:space="0" w:color="auto"/>
          </w:divBdr>
        </w:div>
        <w:div w:id="1752779281">
          <w:marLeft w:val="0"/>
          <w:marRight w:val="0"/>
          <w:marTop w:val="0"/>
          <w:marBottom w:val="0"/>
          <w:divBdr>
            <w:top w:val="none" w:sz="0" w:space="0" w:color="auto"/>
            <w:left w:val="none" w:sz="0" w:space="0" w:color="auto"/>
            <w:bottom w:val="none" w:sz="0" w:space="0" w:color="auto"/>
            <w:right w:val="none" w:sz="0" w:space="0" w:color="auto"/>
          </w:divBdr>
        </w:div>
        <w:div w:id="265161823">
          <w:marLeft w:val="0"/>
          <w:marRight w:val="0"/>
          <w:marTop w:val="0"/>
          <w:marBottom w:val="0"/>
          <w:divBdr>
            <w:top w:val="none" w:sz="0" w:space="0" w:color="auto"/>
            <w:left w:val="none" w:sz="0" w:space="0" w:color="auto"/>
            <w:bottom w:val="none" w:sz="0" w:space="0" w:color="auto"/>
            <w:right w:val="none" w:sz="0" w:space="0" w:color="auto"/>
          </w:divBdr>
        </w:div>
        <w:div w:id="298923553">
          <w:marLeft w:val="0"/>
          <w:marRight w:val="0"/>
          <w:marTop w:val="0"/>
          <w:marBottom w:val="0"/>
          <w:divBdr>
            <w:top w:val="none" w:sz="0" w:space="0" w:color="auto"/>
            <w:left w:val="none" w:sz="0" w:space="0" w:color="auto"/>
            <w:bottom w:val="none" w:sz="0" w:space="0" w:color="auto"/>
            <w:right w:val="none" w:sz="0" w:space="0" w:color="auto"/>
          </w:divBdr>
        </w:div>
        <w:div w:id="380835935">
          <w:marLeft w:val="0"/>
          <w:marRight w:val="0"/>
          <w:marTop w:val="0"/>
          <w:marBottom w:val="0"/>
          <w:divBdr>
            <w:top w:val="none" w:sz="0" w:space="0" w:color="auto"/>
            <w:left w:val="none" w:sz="0" w:space="0" w:color="auto"/>
            <w:bottom w:val="none" w:sz="0" w:space="0" w:color="auto"/>
            <w:right w:val="none" w:sz="0" w:space="0" w:color="auto"/>
          </w:divBdr>
        </w:div>
        <w:div w:id="182400755">
          <w:marLeft w:val="0"/>
          <w:marRight w:val="0"/>
          <w:marTop w:val="0"/>
          <w:marBottom w:val="0"/>
          <w:divBdr>
            <w:top w:val="none" w:sz="0" w:space="0" w:color="auto"/>
            <w:left w:val="none" w:sz="0" w:space="0" w:color="auto"/>
            <w:bottom w:val="none" w:sz="0" w:space="0" w:color="auto"/>
            <w:right w:val="none" w:sz="0" w:space="0" w:color="auto"/>
          </w:divBdr>
        </w:div>
        <w:div w:id="343945106">
          <w:marLeft w:val="0"/>
          <w:marRight w:val="0"/>
          <w:marTop w:val="0"/>
          <w:marBottom w:val="0"/>
          <w:divBdr>
            <w:top w:val="none" w:sz="0" w:space="0" w:color="auto"/>
            <w:left w:val="none" w:sz="0" w:space="0" w:color="auto"/>
            <w:bottom w:val="none" w:sz="0" w:space="0" w:color="auto"/>
            <w:right w:val="none" w:sz="0" w:space="0" w:color="auto"/>
          </w:divBdr>
        </w:div>
        <w:div w:id="2053453100">
          <w:marLeft w:val="0"/>
          <w:marRight w:val="0"/>
          <w:marTop w:val="0"/>
          <w:marBottom w:val="0"/>
          <w:divBdr>
            <w:top w:val="none" w:sz="0" w:space="0" w:color="auto"/>
            <w:left w:val="none" w:sz="0" w:space="0" w:color="auto"/>
            <w:bottom w:val="none" w:sz="0" w:space="0" w:color="auto"/>
            <w:right w:val="none" w:sz="0" w:space="0" w:color="auto"/>
          </w:divBdr>
        </w:div>
        <w:div w:id="1626303710">
          <w:marLeft w:val="0"/>
          <w:marRight w:val="0"/>
          <w:marTop w:val="0"/>
          <w:marBottom w:val="0"/>
          <w:divBdr>
            <w:top w:val="none" w:sz="0" w:space="0" w:color="auto"/>
            <w:left w:val="none" w:sz="0" w:space="0" w:color="auto"/>
            <w:bottom w:val="none" w:sz="0" w:space="0" w:color="auto"/>
            <w:right w:val="none" w:sz="0" w:space="0" w:color="auto"/>
          </w:divBdr>
        </w:div>
        <w:div w:id="622736261">
          <w:marLeft w:val="0"/>
          <w:marRight w:val="0"/>
          <w:marTop w:val="0"/>
          <w:marBottom w:val="0"/>
          <w:divBdr>
            <w:top w:val="none" w:sz="0" w:space="0" w:color="auto"/>
            <w:left w:val="none" w:sz="0" w:space="0" w:color="auto"/>
            <w:bottom w:val="none" w:sz="0" w:space="0" w:color="auto"/>
            <w:right w:val="none" w:sz="0" w:space="0" w:color="auto"/>
          </w:divBdr>
        </w:div>
        <w:div w:id="379593290">
          <w:marLeft w:val="0"/>
          <w:marRight w:val="0"/>
          <w:marTop w:val="0"/>
          <w:marBottom w:val="0"/>
          <w:divBdr>
            <w:top w:val="none" w:sz="0" w:space="0" w:color="auto"/>
            <w:left w:val="none" w:sz="0" w:space="0" w:color="auto"/>
            <w:bottom w:val="none" w:sz="0" w:space="0" w:color="auto"/>
            <w:right w:val="none" w:sz="0" w:space="0" w:color="auto"/>
          </w:divBdr>
        </w:div>
        <w:div w:id="47993483">
          <w:marLeft w:val="0"/>
          <w:marRight w:val="0"/>
          <w:marTop w:val="0"/>
          <w:marBottom w:val="0"/>
          <w:divBdr>
            <w:top w:val="none" w:sz="0" w:space="0" w:color="auto"/>
            <w:left w:val="none" w:sz="0" w:space="0" w:color="auto"/>
            <w:bottom w:val="none" w:sz="0" w:space="0" w:color="auto"/>
            <w:right w:val="none" w:sz="0" w:space="0" w:color="auto"/>
          </w:divBdr>
        </w:div>
        <w:div w:id="1270701471">
          <w:marLeft w:val="0"/>
          <w:marRight w:val="0"/>
          <w:marTop w:val="0"/>
          <w:marBottom w:val="0"/>
          <w:divBdr>
            <w:top w:val="none" w:sz="0" w:space="0" w:color="auto"/>
            <w:left w:val="none" w:sz="0" w:space="0" w:color="auto"/>
            <w:bottom w:val="none" w:sz="0" w:space="0" w:color="auto"/>
            <w:right w:val="none" w:sz="0" w:space="0" w:color="auto"/>
          </w:divBdr>
        </w:div>
        <w:div w:id="882981414">
          <w:marLeft w:val="0"/>
          <w:marRight w:val="0"/>
          <w:marTop w:val="0"/>
          <w:marBottom w:val="0"/>
          <w:divBdr>
            <w:top w:val="none" w:sz="0" w:space="0" w:color="auto"/>
            <w:left w:val="none" w:sz="0" w:space="0" w:color="auto"/>
            <w:bottom w:val="none" w:sz="0" w:space="0" w:color="auto"/>
            <w:right w:val="none" w:sz="0" w:space="0" w:color="auto"/>
          </w:divBdr>
        </w:div>
        <w:div w:id="1817797404">
          <w:marLeft w:val="0"/>
          <w:marRight w:val="0"/>
          <w:marTop w:val="0"/>
          <w:marBottom w:val="0"/>
          <w:divBdr>
            <w:top w:val="none" w:sz="0" w:space="0" w:color="auto"/>
            <w:left w:val="none" w:sz="0" w:space="0" w:color="auto"/>
            <w:bottom w:val="none" w:sz="0" w:space="0" w:color="auto"/>
            <w:right w:val="none" w:sz="0" w:space="0" w:color="auto"/>
          </w:divBdr>
        </w:div>
        <w:div w:id="1535726189">
          <w:marLeft w:val="0"/>
          <w:marRight w:val="0"/>
          <w:marTop w:val="0"/>
          <w:marBottom w:val="0"/>
          <w:divBdr>
            <w:top w:val="none" w:sz="0" w:space="0" w:color="auto"/>
            <w:left w:val="none" w:sz="0" w:space="0" w:color="auto"/>
            <w:bottom w:val="none" w:sz="0" w:space="0" w:color="auto"/>
            <w:right w:val="none" w:sz="0" w:space="0" w:color="auto"/>
          </w:divBdr>
        </w:div>
        <w:div w:id="923342426">
          <w:marLeft w:val="0"/>
          <w:marRight w:val="0"/>
          <w:marTop w:val="0"/>
          <w:marBottom w:val="0"/>
          <w:divBdr>
            <w:top w:val="none" w:sz="0" w:space="0" w:color="auto"/>
            <w:left w:val="none" w:sz="0" w:space="0" w:color="auto"/>
            <w:bottom w:val="none" w:sz="0" w:space="0" w:color="auto"/>
            <w:right w:val="none" w:sz="0" w:space="0" w:color="auto"/>
          </w:divBdr>
        </w:div>
        <w:div w:id="141167030">
          <w:marLeft w:val="0"/>
          <w:marRight w:val="0"/>
          <w:marTop w:val="0"/>
          <w:marBottom w:val="0"/>
          <w:divBdr>
            <w:top w:val="none" w:sz="0" w:space="0" w:color="auto"/>
            <w:left w:val="none" w:sz="0" w:space="0" w:color="auto"/>
            <w:bottom w:val="none" w:sz="0" w:space="0" w:color="auto"/>
            <w:right w:val="none" w:sz="0" w:space="0" w:color="auto"/>
          </w:divBdr>
        </w:div>
        <w:div w:id="517039479">
          <w:marLeft w:val="0"/>
          <w:marRight w:val="0"/>
          <w:marTop w:val="0"/>
          <w:marBottom w:val="0"/>
          <w:divBdr>
            <w:top w:val="none" w:sz="0" w:space="0" w:color="auto"/>
            <w:left w:val="none" w:sz="0" w:space="0" w:color="auto"/>
            <w:bottom w:val="none" w:sz="0" w:space="0" w:color="auto"/>
            <w:right w:val="none" w:sz="0" w:space="0" w:color="auto"/>
          </w:divBdr>
        </w:div>
        <w:div w:id="464548946">
          <w:marLeft w:val="0"/>
          <w:marRight w:val="0"/>
          <w:marTop w:val="0"/>
          <w:marBottom w:val="0"/>
          <w:divBdr>
            <w:top w:val="none" w:sz="0" w:space="0" w:color="auto"/>
            <w:left w:val="none" w:sz="0" w:space="0" w:color="auto"/>
            <w:bottom w:val="none" w:sz="0" w:space="0" w:color="auto"/>
            <w:right w:val="none" w:sz="0" w:space="0" w:color="auto"/>
          </w:divBdr>
        </w:div>
        <w:div w:id="684747010">
          <w:marLeft w:val="0"/>
          <w:marRight w:val="0"/>
          <w:marTop w:val="0"/>
          <w:marBottom w:val="0"/>
          <w:divBdr>
            <w:top w:val="none" w:sz="0" w:space="0" w:color="auto"/>
            <w:left w:val="none" w:sz="0" w:space="0" w:color="auto"/>
            <w:bottom w:val="none" w:sz="0" w:space="0" w:color="auto"/>
            <w:right w:val="none" w:sz="0" w:space="0" w:color="auto"/>
          </w:divBdr>
        </w:div>
        <w:div w:id="474302696">
          <w:marLeft w:val="0"/>
          <w:marRight w:val="0"/>
          <w:marTop w:val="0"/>
          <w:marBottom w:val="0"/>
          <w:divBdr>
            <w:top w:val="none" w:sz="0" w:space="0" w:color="auto"/>
            <w:left w:val="none" w:sz="0" w:space="0" w:color="auto"/>
            <w:bottom w:val="none" w:sz="0" w:space="0" w:color="auto"/>
            <w:right w:val="none" w:sz="0" w:space="0" w:color="auto"/>
          </w:divBdr>
        </w:div>
        <w:div w:id="2119376024">
          <w:marLeft w:val="0"/>
          <w:marRight w:val="0"/>
          <w:marTop w:val="0"/>
          <w:marBottom w:val="0"/>
          <w:divBdr>
            <w:top w:val="none" w:sz="0" w:space="0" w:color="auto"/>
            <w:left w:val="none" w:sz="0" w:space="0" w:color="auto"/>
            <w:bottom w:val="none" w:sz="0" w:space="0" w:color="auto"/>
            <w:right w:val="none" w:sz="0" w:space="0" w:color="auto"/>
          </w:divBdr>
        </w:div>
        <w:div w:id="2059426400">
          <w:marLeft w:val="0"/>
          <w:marRight w:val="0"/>
          <w:marTop w:val="0"/>
          <w:marBottom w:val="0"/>
          <w:divBdr>
            <w:top w:val="none" w:sz="0" w:space="0" w:color="auto"/>
            <w:left w:val="none" w:sz="0" w:space="0" w:color="auto"/>
            <w:bottom w:val="none" w:sz="0" w:space="0" w:color="auto"/>
            <w:right w:val="none" w:sz="0" w:space="0" w:color="auto"/>
          </w:divBdr>
        </w:div>
        <w:div w:id="1049188764">
          <w:marLeft w:val="0"/>
          <w:marRight w:val="0"/>
          <w:marTop w:val="0"/>
          <w:marBottom w:val="0"/>
          <w:divBdr>
            <w:top w:val="none" w:sz="0" w:space="0" w:color="auto"/>
            <w:left w:val="none" w:sz="0" w:space="0" w:color="auto"/>
            <w:bottom w:val="none" w:sz="0" w:space="0" w:color="auto"/>
            <w:right w:val="none" w:sz="0" w:space="0" w:color="auto"/>
          </w:divBdr>
        </w:div>
        <w:div w:id="1801721660">
          <w:marLeft w:val="0"/>
          <w:marRight w:val="0"/>
          <w:marTop w:val="0"/>
          <w:marBottom w:val="0"/>
          <w:divBdr>
            <w:top w:val="none" w:sz="0" w:space="0" w:color="auto"/>
            <w:left w:val="none" w:sz="0" w:space="0" w:color="auto"/>
            <w:bottom w:val="none" w:sz="0" w:space="0" w:color="auto"/>
            <w:right w:val="none" w:sz="0" w:space="0" w:color="auto"/>
          </w:divBdr>
        </w:div>
        <w:div w:id="1953005476">
          <w:marLeft w:val="0"/>
          <w:marRight w:val="0"/>
          <w:marTop w:val="0"/>
          <w:marBottom w:val="0"/>
          <w:divBdr>
            <w:top w:val="none" w:sz="0" w:space="0" w:color="auto"/>
            <w:left w:val="none" w:sz="0" w:space="0" w:color="auto"/>
            <w:bottom w:val="none" w:sz="0" w:space="0" w:color="auto"/>
            <w:right w:val="none" w:sz="0" w:space="0" w:color="auto"/>
          </w:divBdr>
        </w:div>
        <w:div w:id="1929000841">
          <w:marLeft w:val="0"/>
          <w:marRight w:val="0"/>
          <w:marTop w:val="0"/>
          <w:marBottom w:val="0"/>
          <w:divBdr>
            <w:top w:val="none" w:sz="0" w:space="0" w:color="auto"/>
            <w:left w:val="none" w:sz="0" w:space="0" w:color="auto"/>
            <w:bottom w:val="none" w:sz="0" w:space="0" w:color="auto"/>
            <w:right w:val="none" w:sz="0" w:space="0" w:color="auto"/>
          </w:divBdr>
        </w:div>
        <w:div w:id="247272592">
          <w:marLeft w:val="0"/>
          <w:marRight w:val="0"/>
          <w:marTop w:val="0"/>
          <w:marBottom w:val="0"/>
          <w:divBdr>
            <w:top w:val="none" w:sz="0" w:space="0" w:color="auto"/>
            <w:left w:val="none" w:sz="0" w:space="0" w:color="auto"/>
            <w:bottom w:val="none" w:sz="0" w:space="0" w:color="auto"/>
            <w:right w:val="none" w:sz="0" w:space="0" w:color="auto"/>
          </w:divBdr>
        </w:div>
        <w:div w:id="1563902043">
          <w:marLeft w:val="0"/>
          <w:marRight w:val="0"/>
          <w:marTop w:val="0"/>
          <w:marBottom w:val="0"/>
          <w:divBdr>
            <w:top w:val="none" w:sz="0" w:space="0" w:color="auto"/>
            <w:left w:val="none" w:sz="0" w:space="0" w:color="auto"/>
            <w:bottom w:val="none" w:sz="0" w:space="0" w:color="auto"/>
            <w:right w:val="none" w:sz="0" w:space="0" w:color="auto"/>
          </w:divBdr>
        </w:div>
        <w:div w:id="2046177644">
          <w:marLeft w:val="0"/>
          <w:marRight w:val="0"/>
          <w:marTop w:val="0"/>
          <w:marBottom w:val="0"/>
          <w:divBdr>
            <w:top w:val="none" w:sz="0" w:space="0" w:color="auto"/>
            <w:left w:val="none" w:sz="0" w:space="0" w:color="auto"/>
            <w:bottom w:val="none" w:sz="0" w:space="0" w:color="auto"/>
            <w:right w:val="none" w:sz="0" w:space="0" w:color="auto"/>
          </w:divBdr>
        </w:div>
        <w:div w:id="107773398">
          <w:marLeft w:val="0"/>
          <w:marRight w:val="0"/>
          <w:marTop w:val="0"/>
          <w:marBottom w:val="0"/>
          <w:divBdr>
            <w:top w:val="none" w:sz="0" w:space="0" w:color="auto"/>
            <w:left w:val="none" w:sz="0" w:space="0" w:color="auto"/>
            <w:bottom w:val="none" w:sz="0" w:space="0" w:color="auto"/>
            <w:right w:val="none" w:sz="0" w:space="0" w:color="auto"/>
          </w:divBdr>
        </w:div>
        <w:div w:id="355892943">
          <w:marLeft w:val="0"/>
          <w:marRight w:val="0"/>
          <w:marTop w:val="0"/>
          <w:marBottom w:val="0"/>
          <w:divBdr>
            <w:top w:val="none" w:sz="0" w:space="0" w:color="auto"/>
            <w:left w:val="none" w:sz="0" w:space="0" w:color="auto"/>
            <w:bottom w:val="none" w:sz="0" w:space="0" w:color="auto"/>
            <w:right w:val="none" w:sz="0" w:space="0" w:color="auto"/>
          </w:divBdr>
        </w:div>
        <w:div w:id="1776901321">
          <w:marLeft w:val="0"/>
          <w:marRight w:val="0"/>
          <w:marTop w:val="0"/>
          <w:marBottom w:val="0"/>
          <w:divBdr>
            <w:top w:val="none" w:sz="0" w:space="0" w:color="auto"/>
            <w:left w:val="none" w:sz="0" w:space="0" w:color="auto"/>
            <w:bottom w:val="none" w:sz="0" w:space="0" w:color="auto"/>
            <w:right w:val="none" w:sz="0" w:space="0" w:color="auto"/>
          </w:divBdr>
        </w:div>
        <w:div w:id="945426546">
          <w:marLeft w:val="0"/>
          <w:marRight w:val="0"/>
          <w:marTop w:val="0"/>
          <w:marBottom w:val="0"/>
          <w:divBdr>
            <w:top w:val="none" w:sz="0" w:space="0" w:color="auto"/>
            <w:left w:val="none" w:sz="0" w:space="0" w:color="auto"/>
            <w:bottom w:val="none" w:sz="0" w:space="0" w:color="auto"/>
            <w:right w:val="none" w:sz="0" w:space="0" w:color="auto"/>
          </w:divBdr>
        </w:div>
        <w:div w:id="1903366930">
          <w:marLeft w:val="0"/>
          <w:marRight w:val="0"/>
          <w:marTop w:val="0"/>
          <w:marBottom w:val="0"/>
          <w:divBdr>
            <w:top w:val="none" w:sz="0" w:space="0" w:color="auto"/>
            <w:left w:val="none" w:sz="0" w:space="0" w:color="auto"/>
            <w:bottom w:val="none" w:sz="0" w:space="0" w:color="auto"/>
            <w:right w:val="none" w:sz="0" w:space="0" w:color="auto"/>
          </w:divBdr>
        </w:div>
        <w:div w:id="939146679">
          <w:marLeft w:val="0"/>
          <w:marRight w:val="0"/>
          <w:marTop w:val="0"/>
          <w:marBottom w:val="0"/>
          <w:divBdr>
            <w:top w:val="none" w:sz="0" w:space="0" w:color="auto"/>
            <w:left w:val="none" w:sz="0" w:space="0" w:color="auto"/>
            <w:bottom w:val="none" w:sz="0" w:space="0" w:color="auto"/>
            <w:right w:val="none" w:sz="0" w:space="0" w:color="auto"/>
          </w:divBdr>
        </w:div>
        <w:div w:id="1121416742">
          <w:marLeft w:val="0"/>
          <w:marRight w:val="0"/>
          <w:marTop w:val="0"/>
          <w:marBottom w:val="0"/>
          <w:divBdr>
            <w:top w:val="none" w:sz="0" w:space="0" w:color="auto"/>
            <w:left w:val="none" w:sz="0" w:space="0" w:color="auto"/>
            <w:bottom w:val="none" w:sz="0" w:space="0" w:color="auto"/>
            <w:right w:val="none" w:sz="0" w:space="0" w:color="auto"/>
          </w:divBdr>
        </w:div>
        <w:div w:id="898177537">
          <w:marLeft w:val="0"/>
          <w:marRight w:val="0"/>
          <w:marTop w:val="0"/>
          <w:marBottom w:val="0"/>
          <w:divBdr>
            <w:top w:val="none" w:sz="0" w:space="0" w:color="auto"/>
            <w:left w:val="none" w:sz="0" w:space="0" w:color="auto"/>
            <w:bottom w:val="none" w:sz="0" w:space="0" w:color="auto"/>
            <w:right w:val="none" w:sz="0" w:space="0" w:color="auto"/>
          </w:divBdr>
        </w:div>
        <w:div w:id="414790623">
          <w:marLeft w:val="0"/>
          <w:marRight w:val="0"/>
          <w:marTop w:val="0"/>
          <w:marBottom w:val="0"/>
          <w:divBdr>
            <w:top w:val="none" w:sz="0" w:space="0" w:color="auto"/>
            <w:left w:val="none" w:sz="0" w:space="0" w:color="auto"/>
            <w:bottom w:val="none" w:sz="0" w:space="0" w:color="auto"/>
            <w:right w:val="none" w:sz="0" w:space="0" w:color="auto"/>
          </w:divBdr>
        </w:div>
        <w:div w:id="14305752">
          <w:marLeft w:val="0"/>
          <w:marRight w:val="0"/>
          <w:marTop w:val="0"/>
          <w:marBottom w:val="0"/>
          <w:divBdr>
            <w:top w:val="none" w:sz="0" w:space="0" w:color="auto"/>
            <w:left w:val="none" w:sz="0" w:space="0" w:color="auto"/>
            <w:bottom w:val="none" w:sz="0" w:space="0" w:color="auto"/>
            <w:right w:val="none" w:sz="0" w:space="0" w:color="auto"/>
          </w:divBdr>
        </w:div>
        <w:div w:id="1985770958">
          <w:marLeft w:val="0"/>
          <w:marRight w:val="0"/>
          <w:marTop w:val="0"/>
          <w:marBottom w:val="0"/>
          <w:divBdr>
            <w:top w:val="none" w:sz="0" w:space="0" w:color="auto"/>
            <w:left w:val="none" w:sz="0" w:space="0" w:color="auto"/>
            <w:bottom w:val="none" w:sz="0" w:space="0" w:color="auto"/>
            <w:right w:val="none" w:sz="0" w:space="0" w:color="auto"/>
          </w:divBdr>
        </w:div>
        <w:div w:id="285744877">
          <w:marLeft w:val="0"/>
          <w:marRight w:val="0"/>
          <w:marTop w:val="0"/>
          <w:marBottom w:val="0"/>
          <w:divBdr>
            <w:top w:val="none" w:sz="0" w:space="0" w:color="auto"/>
            <w:left w:val="none" w:sz="0" w:space="0" w:color="auto"/>
            <w:bottom w:val="none" w:sz="0" w:space="0" w:color="auto"/>
            <w:right w:val="none" w:sz="0" w:space="0" w:color="auto"/>
          </w:divBdr>
        </w:div>
        <w:div w:id="2122727520">
          <w:marLeft w:val="0"/>
          <w:marRight w:val="0"/>
          <w:marTop w:val="0"/>
          <w:marBottom w:val="0"/>
          <w:divBdr>
            <w:top w:val="none" w:sz="0" w:space="0" w:color="auto"/>
            <w:left w:val="none" w:sz="0" w:space="0" w:color="auto"/>
            <w:bottom w:val="none" w:sz="0" w:space="0" w:color="auto"/>
            <w:right w:val="none" w:sz="0" w:space="0" w:color="auto"/>
          </w:divBdr>
        </w:div>
        <w:div w:id="1146778428">
          <w:marLeft w:val="0"/>
          <w:marRight w:val="0"/>
          <w:marTop w:val="0"/>
          <w:marBottom w:val="0"/>
          <w:divBdr>
            <w:top w:val="none" w:sz="0" w:space="0" w:color="auto"/>
            <w:left w:val="none" w:sz="0" w:space="0" w:color="auto"/>
            <w:bottom w:val="none" w:sz="0" w:space="0" w:color="auto"/>
            <w:right w:val="none" w:sz="0" w:space="0" w:color="auto"/>
          </w:divBdr>
        </w:div>
        <w:div w:id="2138185574">
          <w:marLeft w:val="0"/>
          <w:marRight w:val="0"/>
          <w:marTop w:val="0"/>
          <w:marBottom w:val="0"/>
          <w:divBdr>
            <w:top w:val="none" w:sz="0" w:space="0" w:color="auto"/>
            <w:left w:val="none" w:sz="0" w:space="0" w:color="auto"/>
            <w:bottom w:val="none" w:sz="0" w:space="0" w:color="auto"/>
            <w:right w:val="none" w:sz="0" w:space="0" w:color="auto"/>
          </w:divBdr>
        </w:div>
        <w:div w:id="411977357">
          <w:marLeft w:val="0"/>
          <w:marRight w:val="0"/>
          <w:marTop w:val="0"/>
          <w:marBottom w:val="0"/>
          <w:divBdr>
            <w:top w:val="none" w:sz="0" w:space="0" w:color="auto"/>
            <w:left w:val="none" w:sz="0" w:space="0" w:color="auto"/>
            <w:bottom w:val="none" w:sz="0" w:space="0" w:color="auto"/>
            <w:right w:val="none" w:sz="0" w:space="0" w:color="auto"/>
          </w:divBdr>
        </w:div>
        <w:div w:id="689720112">
          <w:marLeft w:val="0"/>
          <w:marRight w:val="0"/>
          <w:marTop w:val="0"/>
          <w:marBottom w:val="0"/>
          <w:divBdr>
            <w:top w:val="none" w:sz="0" w:space="0" w:color="auto"/>
            <w:left w:val="none" w:sz="0" w:space="0" w:color="auto"/>
            <w:bottom w:val="none" w:sz="0" w:space="0" w:color="auto"/>
            <w:right w:val="none" w:sz="0" w:space="0" w:color="auto"/>
          </w:divBdr>
        </w:div>
        <w:div w:id="569971775">
          <w:marLeft w:val="0"/>
          <w:marRight w:val="0"/>
          <w:marTop w:val="0"/>
          <w:marBottom w:val="0"/>
          <w:divBdr>
            <w:top w:val="none" w:sz="0" w:space="0" w:color="auto"/>
            <w:left w:val="none" w:sz="0" w:space="0" w:color="auto"/>
            <w:bottom w:val="none" w:sz="0" w:space="0" w:color="auto"/>
            <w:right w:val="none" w:sz="0" w:space="0" w:color="auto"/>
          </w:divBdr>
        </w:div>
        <w:div w:id="900944761">
          <w:marLeft w:val="0"/>
          <w:marRight w:val="0"/>
          <w:marTop w:val="0"/>
          <w:marBottom w:val="0"/>
          <w:divBdr>
            <w:top w:val="none" w:sz="0" w:space="0" w:color="auto"/>
            <w:left w:val="none" w:sz="0" w:space="0" w:color="auto"/>
            <w:bottom w:val="none" w:sz="0" w:space="0" w:color="auto"/>
            <w:right w:val="none" w:sz="0" w:space="0" w:color="auto"/>
          </w:divBdr>
        </w:div>
        <w:div w:id="1507936310">
          <w:marLeft w:val="0"/>
          <w:marRight w:val="0"/>
          <w:marTop w:val="0"/>
          <w:marBottom w:val="0"/>
          <w:divBdr>
            <w:top w:val="none" w:sz="0" w:space="0" w:color="auto"/>
            <w:left w:val="none" w:sz="0" w:space="0" w:color="auto"/>
            <w:bottom w:val="none" w:sz="0" w:space="0" w:color="auto"/>
            <w:right w:val="none" w:sz="0" w:space="0" w:color="auto"/>
          </w:divBdr>
        </w:div>
        <w:div w:id="1302345465">
          <w:marLeft w:val="0"/>
          <w:marRight w:val="0"/>
          <w:marTop w:val="0"/>
          <w:marBottom w:val="0"/>
          <w:divBdr>
            <w:top w:val="none" w:sz="0" w:space="0" w:color="auto"/>
            <w:left w:val="none" w:sz="0" w:space="0" w:color="auto"/>
            <w:bottom w:val="none" w:sz="0" w:space="0" w:color="auto"/>
            <w:right w:val="none" w:sz="0" w:space="0" w:color="auto"/>
          </w:divBdr>
        </w:div>
        <w:div w:id="2066100022">
          <w:marLeft w:val="0"/>
          <w:marRight w:val="0"/>
          <w:marTop w:val="0"/>
          <w:marBottom w:val="0"/>
          <w:divBdr>
            <w:top w:val="none" w:sz="0" w:space="0" w:color="auto"/>
            <w:left w:val="none" w:sz="0" w:space="0" w:color="auto"/>
            <w:bottom w:val="none" w:sz="0" w:space="0" w:color="auto"/>
            <w:right w:val="none" w:sz="0" w:space="0" w:color="auto"/>
          </w:divBdr>
        </w:div>
        <w:div w:id="886377083">
          <w:marLeft w:val="0"/>
          <w:marRight w:val="0"/>
          <w:marTop w:val="0"/>
          <w:marBottom w:val="0"/>
          <w:divBdr>
            <w:top w:val="none" w:sz="0" w:space="0" w:color="auto"/>
            <w:left w:val="none" w:sz="0" w:space="0" w:color="auto"/>
            <w:bottom w:val="none" w:sz="0" w:space="0" w:color="auto"/>
            <w:right w:val="none" w:sz="0" w:space="0" w:color="auto"/>
          </w:divBdr>
        </w:div>
        <w:div w:id="225803153">
          <w:marLeft w:val="0"/>
          <w:marRight w:val="0"/>
          <w:marTop w:val="0"/>
          <w:marBottom w:val="0"/>
          <w:divBdr>
            <w:top w:val="none" w:sz="0" w:space="0" w:color="auto"/>
            <w:left w:val="none" w:sz="0" w:space="0" w:color="auto"/>
            <w:bottom w:val="none" w:sz="0" w:space="0" w:color="auto"/>
            <w:right w:val="none" w:sz="0" w:space="0" w:color="auto"/>
          </w:divBdr>
        </w:div>
        <w:div w:id="180516712">
          <w:marLeft w:val="0"/>
          <w:marRight w:val="0"/>
          <w:marTop w:val="0"/>
          <w:marBottom w:val="0"/>
          <w:divBdr>
            <w:top w:val="none" w:sz="0" w:space="0" w:color="auto"/>
            <w:left w:val="none" w:sz="0" w:space="0" w:color="auto"/>
            <w:bottom w:val="none" w:sz="0" w:space="0" w:color="auto"/>
            <w:right w:val="none" w:sz="0" w:space="0" w:color="auto"/>
          </w:divBdr>
        </w:div>
        <w:div w:id="2055035154">
          <w:marLeft w:val="0"/>
          <w:marRight w:val="0"/>
          <w:marTop w:val="0"/>
          <w:marBottom w:val="0"/>
          <w:divBdr>
            <w:top w:val="none" w:sz="0" w:space="0" w:color="auto"/>
            <w:left w:val="none" w:sz="0" w:space="0" w:color="auto"/>
            <w:bottom w:val="none" w:sz="0" w:space="0" w:color="auto"/>
            <w:right w:val="none" w:sz="0" w:space="0" w:color="auto"/>
          </w:divBdr>
        </w:div>
        <w:div w:id="655646031">
          <w:marLeft w:val="0"/>
          <w:marRight w:val="0"/>
          <w:marTop w:val="0"/>
          <w:marBottom w:val="0"/>
          <w:divBdr>
            <w:top w:val="none" w:sz="0" w:space="0" w:color="auto"/>
            <w:left w:val="none" w:sz="0" w:space="0" w:color="auto"/>
            <w:bottom w:val="none" w:sz="0" w:space="0" w:color="auto"/>
            <w:right w:val="none" w:sz="0" w:space="0" w:color="auto"/>
          </w:divBdr>
        </w:div>
        <w:div w:id="1220366588">
          <w:marLeft w:val="0"/>
          <w:marRight w:val="0"/>
          <w:marTop w:val="0"/>
          <w:marBottom w:val="0"/>
          <w:divBdr>
            <w:top w:val="none" w:sz="0" w:space="0" w:color="auto"/>
            <w:left w:val="none" w:sz="0" w:space="0" w:color="auto"/>
            <w:bottom w:val="none" w:sz="0" w:space="0" w:color="auto"/>
            <w:right w:val="none" w:sz="0" w:space="0" w:color="auto"/>
          </w:divBdr>
        </w:div>
        <w:div w:id="1795555991">
          <w:marLeft w:val="0"/>
          <w:marRight w:val="0"/>
          <w:marTop w:val="0"/>
          <w:marBottom w:val="0"/>
          <w:divBdr>
            <w:top w:val="none" w:sz="0" w:space="0" w:color="auto"/>
            <w:left w:val="none" w:sz="0" w:space="0" w:color="auto"/>
            <w:bottom w:val="none" w:sz="0" w:space="0" w:color="auto"/>
            <w:right w:val="none" w:sz="0" w:space="0" w:color="auto"/>
          </w:divBdr>
        </w:div>
        <w:div w:id="1883321424">
          <w:marLeft w:val="0"/>
          <w:marRight w:val="0"/>
          <w:marTop w:val="0"/>
          <w:marBottom w:val="0"/>
          <w:divBdr>
            <w:top w:val="none" w:sz="0" w:space="0" w:color="auto"/>
            <w:left w:val="none" w:sz="0" w:space="0" w:color="auto"/>
            <w:bottom w:val="none" w:sz="0" w:space="0" w:color="auto"/>
            <w:right w:val="none" w:sz="0" w:space="0" w:color="auto"/>
          </w:divBdr>
        </w:div>
        <w:div w:id="40523060">
          <w:marLeft w:val="0"/>
          <w:marRight w:val="0"/>
          <w:marTop w:val="0"/>
          <w:marBottom w:val="0"/>
          <w:divBdr>
            <w:top w:val="none" w:sz="0" w:space="0" w:color="auto"/>
            <w:left w:val="none" w:sz="0" w:space="0" w:color="auto"/>
            <w:bottom w:val="none" w:sz="0" w:space="0" w:color="auto"/>
            <w:right w:val="none" w:sz="0" w:space="0" w:color="auto"/>
          </w:divBdr>
        </w:div>
        <w:div w:id="1511063927">
          <w:marLeft w:val="0"/>
          <w:marRight w:val="0"/>
          <w:marTop w:val="0"/>
          <w:marBottom w:val="0"/>
          <w:divBdr>
            <w:top w:val="none" w:sz="0" w:space="0" w:color="auto"/>
            <w:left w:val="none" w:sz="0" w:space="0" w:color="auto"/>
            <w:bottom w:val="none" w:sz="0" w:space="0" w:color="auto"/>
            <w:right w:val="none" w:sz="0" w:space="0" w:color="auto"/>
          </w:divBdr>
        </w:div>
        <w:div w:id="922841505">
          <w:marLeft w:val="0"/>
          <w:marRight w:val="0"/>
          <w:marTop w:val="0"/>
          <w:marBottom w:val="0"/>
          <w:divBdr>
            <w:top w:val="none" w:sz="0" w:space="0" w:color="auto"/>
            <w:left w:val="none" w:sz="0" w:space="0" w:color="auto"/>
            <w:bottom w:val="none" w:sz="0" w:space="0" w:color="auto"/>
            <w:right w:val="none" w:sz="0" w:space="0" w:color="auto"/>
          </w:divBdr>
        </w:div>
        <w:div w:id="1503282050">
          <w:marLeft w:val="0"/>
          <w:marRight w:val="0"/>
          <w:marTop w:val="0"/>
          <w:marBottom w:val="0"/>
          <w:divBdr>
            <w:top w:val="none" w:sz="0" w:space="0" w:color="auto"/>
            <w:left w:val="none" w:sz="0" w:space="0" w:color="auto"/>
            <w:bottom w:val="none" w:sz="0" w:space="0" w:color="auto"/>
            <w:right w:val="none" w:sz="0" w:space="0" w:color="auto"/>
          </w:divBdr>
        </w:div>
        <w:div w:id="1902907294">
          <w:marLeft w:val="0"/>
          <w:marRight w:val="0"/>
          <w:marTop w:val="0"/>
          <w:marBottom w:val="0"/>
          <w:divBdr>
            <w:top w:val="none" w:sz="0" w:space="0" w:color="auto"/>
            <w:left w:val="none" w:sz="0" w:space="0" w:color="auto"/>
            <w:bottom w:val="none" w:sz="0" w:space="0" w:color="auto"/>
            <w:right w:val="none" w:sz="0" w:space="0" w:color="auto"/>
          </w:divBdr>
        </w:div>
        <w:div w:id="625698630">
          <w:marLeft w:val="0"/>
          <w:marRight w:val="0"/>
          <w:marTop w:val="0"/>
          <w:marBottom w:val="0"/>
          <w:divBdr>
            <w:top w:val="none" w:sz="0" w:space="0" w:color="auto"/>
            <w:left w:val="none" w:sz="0" w:space="0" w:color="auto"/>
            <w:bottom w:val="none" w:sz="0" w:space="0" w:color="auto"/>
            <w:right w:val="none" w:sz="0" w:space="0" w:color="auto"/>
          </w:divBdr>
        </w:div>
        <w:div w:id="289823667">
          <w:marLeft w:val="0"/>
          <w:marRight w:val="0"/>
          <w:marTop w:val="0"/>
          <w:marBottom w:val="0"/>
          <w:divBdr>
            <w:top w:val="none" w:sz="0" w:space="0" w:color="auto"/>
            <w:left w:val="none" w:sz="0" w:space="0" w:color="auto"/>
            <w:bottom w:val="none" w:sz="0" w:space="0" w:color="auto"/>
            <w:right w:val="none" w:sz="0" w:space="0" w:color="auto"/>
          </w:divBdr>
        </w:div>
        <w:div w:id="30616652">
          <w:marLeft w:val="0"/>
          <w:marRight w:val="0"/>
          <w:marTop w:val="0"/>
          <w:marBottom w:val="0"/>
          <w:divBdr>
            <w:top w:val="none" w:sz="0" w:space="0" w:color="auto"/>
            <w:left w:val="none" w:sz="0" w:space="0" w:color="auto"/>
            <w:bottom w:val="none" w:sz="0" w:space="0" w:color="auto"/>
            <w:right w:val="none" w:sz="0" w:space="0" w:color="auto"/>
          </w:divBdr>
        </w:div>
        <w:div w:id="108009400">
          <w:marLeft w:val="0"/>
          <w:marRight w:val="0"/>
          <w:marTop w:val="0"/>
          <w:marBottom w:val="0"/>
          <w:divBdr>
            <w:top w:val="none" w:sz="0" w:space="0" w:color="auto"/>
            <w:left w:val="none" w:sz="0" w:space="0" w:color="auto"/>
            <w:bottom w:val="none" w:sz="0" w:space="0" w:color="auto"/>
            <w:right w:val="none" w:sz="0" w:space="0" w:color="auto"/>
          </w:divBdr>
        </w:div>
        <w:div w:id="186411403">
          <w:marLeft w:val="0"/>
          <w:marRight w:val="0"/>
          <w:marTop w:val="0"/>
          <w:marBottom w:val="0"/>
          <w:divBdr>
            <w:top w:val="none" w:sz="0" w:space="0" w:color="auto"/>
            <w:left w:val="none" w:sz="0" w:space="0" w:color="auto"/>
            <w:bottom w:val="none" w:sz="0" w:space="0" w:color="auto"/>
            <w:right w:val="none" w:sz="0" w:space="0" w:color="auto"/>
          </w:divBdr>
        </w:div>
        <w:div w:id="363601658">
          <w:marLeft w:val="0"/>
          <w:marRight w:val="0"/>
          <w:marTop w:val="0"/>
          <w:marBottom w:val="0"/>
          <w:divBdr>
            <w:top w:val="none" w:sz="0" w:space="0" w:color="auto"/>
            <w:left w:val="none" w:sz="0" w:space="0" w:color="auto"/>
            <w:bottom w:val="none" w:sz="0" w:space="0" w:color="auto"/>
            <w:right w:val="none" w:sz="0" w:space="0" w:color="auto"/>
          </w:divBdr>
        </w:div>
        <w:div w:id="1606689452">
          <w:marLeft w:val="0"/>
          <w:marRight w:val="0"/>
          <w:marTop w:val="0"/>
          <w:marBottom w:val="0"/>
          <w:divBdr>
            <w:top w:val="none" w:sz="0" w:space="0" w:color="auto"/>
            <w:left w:val="none" w:sz="0" w:space="0" w:color="auto"/>
            <w:bottom w:val="none" w:sz="0" w:space="0" w:color="auto"/>
            <w:right w:val="none" w:sz="0" w:space="0" w:color="auto"/>
          </w:divBdr>
        </w:div>
        <w:div w:id="948246677">
          <w:marLeft w:val="0"/>
          <w:marRight w:val="0"/>
          <w:marTop w:val="0"/>
          <w:marBottom w:val="0"/>
          <w:divBdr>
            <w:top w:val="none" w:sz="0" w:space="0" w:color="auto"/>
            <w:left w:val="none" w:sz="0" w:space="0" w:color="auto"/>
            <w:bottom w:val="none" w:sz="0" w:space="0" w:color="auto"/>
            <w:right w:val="none" w:sz="0" w:space="0" w:color="auto"/>
          </w:divBdr>
        </w:div>
        <w:div w:id="156698335">
          <w:marLeft w:val="0"/>
          <w:marRight w:val="0"/>
          <w:marTop w:val="0"/>
          <w:marBottom w:val="0"/>
          <w:divBdr>
            <w:top w:val="none" w:sz="0" w:space="0" w:color="auto"/>
            <w:left w:val="none" w:sz="0" w:space="0" w:color="auto"/>
            <w:bottom w:val="none" w:sz="0" w:space="0" w:color="auto"/>
            <w:right w:val="none" w:sz="0" w:space="0" w:color="auto"/>
          </w:divBdr>
        </w:div>
        <w:div w:id="584925216">
          <w:marLeft w:val="0"/>
          <w:marRight w:val="0"/>
          <w:marTop w:val="0"/>
          <w:marBottom w:val="0"/>
          <w:divBdr>
            <w:top w:val="none" w:sz="0" w:space="0" w:color="auto"/>
            <w:left w:val="none" w:sz="0" w:space="0" w:color="auto"/>
            <w:bottom w:val="none" w:sz="0" w:space="0" w:color="auto"/>
            <w:right w:val="none" w:sz="0" w:space="0" w:color="auto"/>
          </w:divBdr>
        </w:div>
        <w:div w:id="829103047">
          <w:marLeft w:val="0"/>
          <w:marRight w:val="0"/>
          <w:marTop w:val="0"/>
          <w:marBottom w:val="0"/>
          <w:divBdr>
            <w:top w:val="none" w:sz="0" w:space="0" w:color="auto"/>
            <w:left w:val="none" w:sz="0" w:space="0" w:color="auto"/>
            <w:bottom w:val="none" w:sz="0" w:space="0" w:color="auto"/>
            <w:right w:val="none" w:sz="0" w:space="0" w:color="auto"/>
          </w:divBdr>
        </w:div>
        <w:div w:id="1059129033">
          <w:marLeft w:val="0"/>
          <w:marRight w:val="0"/>
          <w:marTop w:val="0"/>
          <w:marBottom w:val="0"/>
          <w:divBdr>
            <w:top w:val="none" w:sz="0" w:space="0" w:color="auto"/>
            <w:left w:val="none" w:sz="0" w:space="0" w:color="auto"/>
            <w:bottom w:val="none" w:sz="0" w:space="0" w:color="auto"/>
            <w:right w:val="none" w:sz="0" w:space="0" w:color="auto"/>
          </w:divBdr>
        </w:div>
        <w:div w:id="1475567198">
          <w:marLeft w:val="0"/>
          <w:marRight w:val="0"/>
          <w:marTop w:val="0"/>
          <w:marBottom w:val="0"/>
          <w:divBdr>
            <w:top w:val="none" w:sz="0" w:space="0" w:color="auto"/>
            <w:left w:val="none" w:sz="0" w:space="0" w:color="auto"/>
            <w:bottom w:val="none" w:sz="0" w:space="0" w:color="auto"/>
            <w:right w:val="none" w:sz="0" w:space="0" w:color="auto"/>
          </w:divBdr>
        </w:div>
        <w:div w:id="1707022719">
          <w:marLeft w:val="0"/>
          <w:marRight w:val="0"/>
          <w:marTop w:val="0"/>
          <w:marBottom w:val="0"/>
          <w:divBdr>
            <w:top w:val="none" w:sz="0" w:space="0" w:color="auto"/>
            <w:left w:val="none" w:sz="0" w:space="0" w:color="auto"/>
            <w:bottom w:val="none" w:sz="0" w:space="0" w:color="auto"/>
            <w:right w:val="none" w:sz="0" w:space="0" w:color="auto"/>
          </w:divBdr>
        </w:div>
        <w:div w:id="980689996">
          <w:marLeft w:val="0"/>
          <w:marRight w:val="0"/>
          <w:marTop w:val="0"/>
          <w:marBottom w:val="0"/>
          <w:divBdr>
            <w:top w:val="none" w:sz="0" w:space="0" w:color="auto"/>
            <w:left w:val="none" w:sz="0" w:space="0" w:color="auto"/>
            <w:bottom w:val="none" w:sz="0" w:space="0" w:color="auto"/>
            <w:right w:val="none" w:sz="0" w:space="0" w:color="auto"/>
          </w:divBdr>
        </w:div>
        <w:div w:id="2113695126">
          <w:marLeft w:val="0"/>
          <w:marRight w:val="0"/>
          <w:marTop w:val="0"/>
          <w:marBottom w:val="0"/>
          <w:divBdr>
            <w:top w:val="none" w:sz="0" w:space="0" w:color="auto"/>
            <w:left w:val="none" w:sz="0" w:space="0" w:color="auto"/>
            <w:bottom w:val="none" w:sz="0" w:space="0" w:color="auto"/>
            <w:right w:val="none" w:sz="0" w:space="0" w:color="auto"/>
          </w:divBdr>
        </w:div>
        <w:div w:id="923683087">
          <w:marLeft w:val="0"/>
          <w:marRight w:val="0"/>
          <w:marTop w:val="0"/>
          <w:marBottom w:val="0"/>
          <w:divBdr>
            <w:top w:val="none" w:sz="0" w:space="0" w:color="auto"/>
            <w:left w:val="none" w:sz="0" w:space="0" w:color="auto"/>
            <w:bottom w:val="none" w:sz="0" w:space="0" w:color="auto"/>
            <w:right w:val="none" w:sz="0" w:space="0" w:color="auto"/>
          </w:divBdr>
        </w:div>
        <w:div w:id="1443303214">
          <w:marLeft w:val="0"/>
          <w:marRight w:val="0"/>
          <w:marTop w:val="0"/>
          <w:marBottom w:val="0"/>
          <w:divBdr>
            <w:top w:val="none" w:sz="0" w:space="0" w:color="auto"/>
            <w:left w:val="none" w:sz="0" w:space="0" w:color="auto"/>
            <w:bottom w:val="none" w:sz="0" w:space="0" w:color="auto"/>
            <w:right w:val="none" w:sz="0" w:space="0" w:color="auto"/>
          </w:divBdr>
        </w:div>
        <w:div w:id="1703633948">
          <w:marLeft w:val="0"/>
          <w:marRight w:val="0"/>
          <w:marTop w:val="0"/>
          <w:marBottom w:val="0"/>
          <w:divBdr>
            <w:top w:val="none" w:sz="0" w:space="0" w:color="auto"/>
            <w:left w:val="none" w:sz="0" w:space="0" w:color="auto"/>
            <w:bottom w:val="none" w:sz="0" w:space="0" w:color="auto"/>
            <w:right w:val="none" w:sz="0" w:space="0" w:color="auto"/>
          </w:divBdr>
        </w:div>
        <w:div w:id="857431437">
          <w:marLeft w:val="0"/>
          <w:marRight w:val="0"/>
          <w:marTop w:val="0"/>
          <w:marBottom w:val="0"/>
          <w:divBdr>
            <w:top w:val="none" w:sz="0" w:space="0" w:color="auto"/>
            <w:left w:val="none" w:sz="0" w:space="0" w:color="auto"/>
            <w:bottom w:val="none" w:sz="0" w:space="0" w:color="auto"/>
            <w:right w:val="none" w:sz="0" w:space="0" w:color="auto"/>
          </w:divBdr>
        </w:div>
        <w:div w:id="2065789299">
          <w:marLeft w:val="0"/>
          <w:marRight w:val="0"/>
          <w:marTop w:val="0"/>
          <w:marBottom w:val="0"/>
          <w:divBdr>
            <w:top w:val="none" w:sz="0" w:space="0" w:color="auto"/>
            <w:left w:val="none" w:sz="0" w:space="0" w:color="auto"/>
            <w:bottom w:val="none" w:sz="0" w:space="0" w:color="auto"/>
            <w:right w:val="none" w:sz="0" w:space="0" w:color="auto"/>
          </w:divBdr>
        </w:div>
        <w:div w:id="1832255908">
          <w:marLeft w:val="0"/>
          <w:marRight w:val="0"/>
          <w:marTop w:val="0"/>
          <w:marBottom w:val="0"/>
          <w:divBdr>
            <w:top w:val="none" w:sz="0" w:space="0" w:color="auto"/>
            <w:left w:val="none" w:sz="0" w:space="0" w:color="auto"/>
            <w:bottom w:val="none" w:sz="0" w:space="0" w:color="auto"/>
            <w:right w:val="none" w:sz="0" w:space="0" w:color="auto"/>
          </w:divBdr>
        </w:div>
        <w:div w:id="2081360982">
          <w:marLeft w:val="0"/>
          <w:marRight w:val="0"/>
          <w:marTop w:val="0"/>
          <w:marBottom w:val="0"/>
          <w:divBdr>
            <w:top w:val="none" w:sz="0" w:space="0" w:color="auto"/>
            <w:left w:val="none" w:sz="0" w:space="0" w:color="auto"/>
            <w:bottom w:val="none" w:sz="0" w:space="0" w:color="auto"/>
            <w:right w:val="none" w:sz="0" w:space="0" w:color="auto"/>
          </w:divBdr>
        </w:div>
        <w:div w:id="1500584891">
          <w:marLeft w:val="0"/>
          <w:marRight w:val="0"/>
          <w:marTop w:val="0"/>
          <w:marBottom w:val="0"/>
          <w:divBdr>
            <w:top w:val="none" w:sz="0" w:space="0" w:color="auto"/>
            <w:left w:val="none" w:sz="0" w:space="0" w:color="auto"/>
            <w:bottom w:val="none" w:sz="0" w:space="0" w:color="auto"/>
            <w:right w:val="none" w:sz="0" w:space="0" w:color="auto"/>
          </w:divBdr>
        </w:div>
        <w:div w:id="1815752154">
          <w:marLeft w:val="0"/>
          <w:marRight w:val="0"/>
          <w:marTop w:val="0"/>
          <w:marBottom w:val="0"/>
          <w:divBdr>
            <w:top w:val="none" w:sz="0" w:space="0" w:color="auto"/>
            <w:left w:val="none" w:sz="0" w:space="0" w:color="auto"/>
            <w:bottom w:val="none" w:sz="0" w:space="0" w:color="auto"/>
            <w:right w:val="none" w:sz="0" w:space="0" w:color="auto"/>
          </w:divBdr>
        </w:div>
        <w:div w:id="410200057">
          <w:marLeft w:val="0"/>
          <w:marRight w:val="0"/>
          <w:marTop w:val="0"/>
          <w:marBottom w:val="0"/>
          <w:divBdr>
            <w:top w:val="none" w:sz="0" w:space="0" w:color="auto"/>
            <w:left w:val="none" w:sz="0" w:space="0" w:color="auto"/>
            <w:bottom w:val="none" w:sz="0" w:space="0" w:color="auto"/>
            <w:right w:val="none" w:sz="0" w:space="0" w:color="auto"/>
          </w:divBdr>
        </w:div>
        <w:div w:id="193230132">
          <w:marLeft w:val="0"/>
          <w:marRight w:val="0"/>
          <w:marTop w:val="0"/>
          <w:marBottom w:val="0"/>
          <w:divBdr>
            <w:top w:val="none" w:sz="0" w:space="0" w:color="auto"/>
            <w:left w:val="none" w:sz="0" w:space="0" w:color="auto"/>
            <w:bottom w:val="none" w:sz="0" w:space="0" w:color="auto"/>
            <w:right w:val="none" w:sz="0" w:space="0" w:color="auto"/>
          </w:divBdr>
        </w:div>
        <w:div w:id="2016564595">
          <w:marLeft w:val="0"/>
          <w:marRight w:val="0"/>
          <w:marTop w:val="0"/>
          <w:marBottom w:val="0"/>
          <w:divBdr>
            <w:top w:val="none" w:sz="0" w:space="0" w:color="auto"/>
            <w:left w:val="none" w:sz="0" w:space="0" w:color="auto"/>
            <w:bottom w:val="none" w:sz="0" w:space="0" w:color="auto"/>
            <w:right w:val="none" w:sz="0" w:space="0" w:color="auto"/>
          </w:divBdr>
        </w:div>
        <w:div w:id="783230252">
          <w:marLeft w:val="0"/>
          <w:marRight w:val="0"/>
          <w:marTop w:val="0"/>
          <w:marBottom w:val="0"/>
          <w:divBdr>
            <w:top w:val="none" w:sz="0" w:space="0" w:color="auto"/>
            <w:left w:val="none" w:sz="0" w:space="0" w:color="auto"/>
            <w:bottom w:val="none" w:sz="0" w:space="0" w:color="auto"/>
            <w:right w:val="none" w:sz="0" w:space="0" w:color="auto"/>
          </w:divBdr>
        </w:div>
        <w:div w:id="265774122">
          <w:marLeft w:val="0"/>
          <w:marRight w:val="0"/>
          <w:marTop w:val="0"/>
          <w:marBottom w:val="0"/>
          <w:divBdr>
            <w:top w:val="none" w:sz="0" w:space="0" w:color="auto"/>
            <w:left w:val="none" w:sz="0" w:space="0" w:color="auto"/>
            <w:bottom w:val="none" w:sz="0" w:space="0" w:color="auto"/>
            <w:right w:val="none" w:sz="0" w:space="0" w:color="auto"/>
          </w:divBdr>
        </w:div>
        <w:div w:id="919406236">
          <w:marLeft w:val="0"/>
          <w:marRight w:val="0"/>
          <w:marTop w:val="0"/>
          <w:marBottom w:val="0"/>
          <w:divBdr>
            <w:top w:val="none" w:sz="0" w:space="0" w:color="auto"/>
            <w:left w:val="none" w:sz="0" w:space="0" w:color="auto"/>
            <w:bottom w:val="none" w:sz="0" w:space="0" w:color="auto"/>
            <w:right w:val="none" w:sz="0" w:space="0" w:color="auto"/>
          </w:divBdr>
        </w:div>
        <w:div w:id="447704234">
          <w:marLeft w:val="0"/>
          <w:marRight w:val="0"/>
          <w:marTop w:val="0"/>
          <w:marBottom w:val="0"/>
          <w:divBdr>
            <w:top w:val="none" w:sz="0" w:space="0" w:color="auto"/>
            <w:left w:val="none" w:sz="0" w:space="0" w:color="auto"/>
            <w:bottom w:val="none" w:sz="0" w:space="0" w:color="auto"/>
            <w:right w:val="none" w:sz="0" w:space="0" w:color="auto"/>
          </w:divBdr>
        </w:div>
        <w:div w:id="1827697619">
          <w:marLeft w:val="0"/>
          <w:marRight w:val="0"/>
          <w:marTop w:val="0"/>
          <w:marBottom w:val="0"/>
          <w:divBdr>
            <w:top w:val="none" w:sz="0" w:space="0" w:color="auto"/>
            <w:left w:val="none" w:sz="0" w:space="0" w:color="auto"/>
            <w:bottom w:val="none" w:sz="0" w:space="0" w:color="auto"/>
            <w:right w:val="none" w:sz="0" w:space="0" w:color="auto"/>
          </w:divBdr>
        </w:div>
        <w:div w:id="352800559">
          <w:marLeft w:val="0"/>
          <w:marRight w:val="0"/>
          <w:marTop w:val="0"/>
          <w:marBottom w:val="0"/>
          <w:divBdr>
            <w:top w:val="none" w:sz="0" w:space="0" w:color="auto"/>
            <w:left w:val="none" w:sz="0" w:space="0" w:color="auto"/>
            <w:bottom w:val="none" w:sz="0" w:space="0" w:color="auto"/>
            <w:right w:val="none" w:sz="0" w:space="0" w:color="auto"/>
          </w:divBdr>
        </w:div>
        <w:div w:id="1793205198">
          <w:marLeft w:val="0"/>
          <w:marRight w:val="0"/>
          <w:marTop w:val="0"/>
          <w:marBottom w:val="0"/>
          <w:divBdr>
            <w:top w:val="none" w:sz="0" w:space="0" w:color="auto"/>
            <w:left w:val="none" w:sz="0" w:space="0" w:color="auto"/>
            <w:bottom w:val="none" w:sz="0" w:space="0" w:color="auto"/>
            <w:right w:val="none" w:sz="0" w:space="0" w:color="auto"/>
          </w:divBdr>
        </w:div>
        <w:div w:id="842163360">
          <w:marLeft w:val="0"/>
          <w:marRight w:val="0"/>
          <w:marTop w:val="0"/>
          <w:marBottom w:val="0"/>
          <w:divBdr>
            <w:top w:val="none" w:sz="0" w:space="0" w:color="auto"/>
            <w:left w:val="none" w:sz="0" w:space="0" w:color="auto"/>
            <w:bottom w:val="none" w:sz="0" w:space="0" w:color="auto"/>
            <w:right w:val="none" w:sz="0" w:space="0" w:color="auto"/>
          </w:divBdr>
        </w:div>
        <w:div w:id="1861821986">
          <w:marLeft w:val="0"/>
          <w:marRight w:val="0"/>
          <w:marTop w:val="0"/>
          <w:marBottom w:val="0"/>
          <w:divBdr>
            <w:top w:val="none" w:sz="0" w:space="0" w:color="auto"/>
            <w:left w:val="none" w:sz="0" w:space="0" w:color="auto"/>
            <w:bottom w:val="none" w:sz="0" w:space="0" w:color="auto"/>
            <w:right w:val="none" w:sz="0" w:space="0" w:color="auto"/>
          </w:divBdr>
        </w:div>
        <w:div w:id="118960931">
          <w:marLeft w:val="0"/>
          <w:marRight w:val="0"/>
          <w:marTop w:val="0"/>
          <w:marBottom w:val="0"/>
          <w:divBdr>
            <w:top w:val="none" w:sz="0" w:space="0" w:color="auto"/>
            <w:left w:val="none" w:sz="0" w:space="0" w:color="auto"/>
            <w:bottom w:val="none" w:sz="0" w:space="0" w:color="auto"/>
            <w:right w:val="none" w:sz="0" w:space="0" w:color="auto"/>
          </w:divBdr>
        </w:div>
        <w:div w:id="1534030443">
          <w:marLeft w:val="0"/>
          <w:marRight w:val="0"/>
          <w:marTop w:val="0"/>
          <w:marBottom w:val="0"/>
          <w:divBdr>
            <w:top w:val="none" w:sz="0" w:space="0" w:color="auto"/>
            <w:left w:val="none" w:sz="0" w:space="0" w:color="auto"/>
            <w:bottom w:val="none" w:sz="0" w:space="0" w:color="auto"/>
            <w:right w:val="none" w:sz="0" w:space="0" w:color="auto"/>
          </w:divBdr>
        </w:div>
        <w:div w:id="320354547">
          <w:marLeft w:val="0"/>
          <w:marRight w:val="0"/>
          <w:marTop w:val="0"/>
          <w:marBottom w:val="0"/>
          <w:divBdr>
            <w:top w:val="none" w:sz="0" w:space="0" w:color="auto"/>
            <w:left w:val="none" w:sz="0" w:space="0" w:color="auto"/>
            <w:bottom w:val="none" w:sz="0" w:space="0" w:color="auto"/>
            <w:right w:val="none" w:sz="0" w:space="0" w:color="auto"/>
          </w:divBdr>
        </w:div>
        <w:div w:id="1589921519">
          <w:marLeft w:val="0"/>
          <w:marRight w:val="0"/>
          <w:marTop w:val="0"/>
          <w:marBottom w:val="0"/>
          <w:divBdr>
            <w:top w:val="none" w:sz="0" w:space="0" w:color="auto"/>
            <w:left w:val="none" w:sz="0" w:space="0" w:color="auto"/>
            <w:bottom w:val="none" w:sz="0" w:space="0" w:color="auto"/>
            <w:right w:val="none" w:sz="0" w:space="0" w:color="auto"/>
          </w:divBdr>
        </w:div>
      </w:divsChild>
    </w:div>
    <w:div w:id="1403941497">
      <w:bodyDiv w:val="1"/>
      <w:marLeft w:val="0"/>
      <w:marRight w:val="0"/>
      <w:marTop w:val="0"/>
      <w:marBottom w:val="0"/>
      <w:divBdr>
        <w:top w:val="none" w:sz="0" w:space="0" w:color="auto"/>
        <w:left w:val="none" w:sz="0" w:space="0" w:color="auto"/>
        <w:bottom w:val="none" w:sz="0" w:space="0" w:color="auto"/>
        <w:right w:val="none" w:sz="0" w:space="0" w:color="auto"/>
      </w:divBdr>
      <w:divsChild>
        <w:div w:id="143787533">
          <w:marLeft w:val="1276"/>
          <w:marRight w:val="0"/>
          <w:marTop w:val="0"/>
          <w:marBottom w:val="101"/>
          <w:divBdr>
            <w:top w:val="none" w:sz="0" w:space="0" w:color="auto"/>
            <w:left w:val="none" w:sz="0" w:space="0" w:color="auto"/>
            <w:bottom w:val="none" w:sz="0" w:space="0" w:color="auto"/>
            <w:right w:val="none" w:sz="0" w:space="0" w:color="auto"/>
          </w:divBdr>
        </w:div>
        <w:div w:id="475728548">
          <w:marLeft w:val="1440"/>
          <w:marRight w:val="0"/>
          <w:marTop w:val="0"/>
          <w:marBottom w:val="101"/>
          <w:divBdr>
            <w:top w:val="none" w:sz="0" w:space="0" w:color="auto"/>
            <w:left w:val="none" w:sz="0" w:space="0" w:color="auto"/>
            <w:bottom w:val="none" w:sz="0" w:space="0" w:color="auto"/>
            <w:right w:val="none" w:sz="0" w:space="0" w:color="auto"/>
          </w:divBdr>
        </w:div>
      </w:divsChild>
    </w:div>
    <w:div w:id="1407806087">
      <w:bodyDiv w:val="1"/>
      <w:marLeft w:val="0"/>
      <w:marRight w:val="0"/>
      <w:marTop w:val="0"/>
      <w:marBottom w:val="0"/>
      <w:divBdr>
        <w:top w:val="none" w:sz="0" w:space="0" w:color="auto"/>
        <w:left w:val="none" w:sz="0" w:space="0" w:color="auto"/>
        <w:bottom w:val="none" w:sz="0" w:space="0" w:color="auto"/>
        <w:right w:val="none" w:sz="0" w:space="0" w:color="auto"/>
      </w:divBdr>
      <w:divsChild>
        <w:div w:id="1239510562">
          <w:marLeft w:val="1418"/>
          <w:marRight w:val="0"/>
          <w:marTop w:val="0"/>
          <w:marBottom w:val="101"/>
          <w:divBdr>
            <w:top w:val="none" w:sz="0" w:space="0" w:color="auto"/>
            <w:left w:val="none" w:sz="0" w:space="0" w:color="auto"/>
            <w:bottom w:val="none" w:sz="0" w:space="0" w:color="auto"/>
            <w:right w:val="none" w:sz="0" w:space="0" w:color="auto"/>
          </w:divBdr>
        </w:div>
        <w:div w:id="1077896335">
          <w:marLeft w:val="1418"/>
          <w:marRight w:val="0"/>
          <w:marTop w:val="0"/>
          <w:marBottom w:val="101"/>
          <w:divBdr>
            <w:top w:val="none" w:sz="0" w:space="0" w:color="auto"/>
            <w:left w:val="none" w:sz="0" w:space="0" w:color="auto"/>
            <w:bottom w:val="none" w:sz="0" w:space="0" w:color="auto"/>
            <w:right w:val="none" w:sz="0" w:space="0" w:color="auto"/>
          </w:divBdr>
        </w:div>
        <w:div w:id="1727223085">
          <w:marLeft w:val="1418"/>
          <w:marRight w:val="0"/>
          <w:marTop w:val="0"/>
          <w:marBottom w:val="101"/>
          <w:divBdr>
            <w:top w:val="none" w:sz="0" w:space="0" w:color="auto"/>
            <w:left w:val="none" w:sz="0" w:space="0" w:color="auto"/>
            <w:bottom w:val="none" w:sz="0" w:space="0" w:color="auto"/>
            <w:right w:val="none" w:sz="0" w:space="0" w:color="auto"/>
          </w:divBdr>
        </w:div>
      </w:divsChild>
    </w:div>
    <w:div w:id="1417746260">
      <w:bodyDiv w:val="1"/>
      <w:marLeft w:val="0"/>
      <w:marRight w:val="0"/>
      <w:marTop w:val="0"/>
      <w:marBottom w:val="0"/>
      <w:divBdr>
        <w:top w:val="none" w:sz="0" w:space="0" w:color="auto"/>
        <w:left w:val="none" w:sz="0" w:space="0" w:color="auto"/>
        <w:bottom w:val="none" w:sz="0" w:space="0" w:color="auto"/>
        <w:right w:val="none" w:sz="0" w:space="0" w:color="auto"/>
      </w:divBdr>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463697016">
      <w:bodyDiv w:val="1"/>
      <w:marLeft w:val="0"/>
      <w:marRight w:val="0"/>
      <w:marTop w:val="0"/>
      <w:marBottom w:val="0"/>
      <w:divBdr>
        <w:top w:val="none" w:sz="0" w:space="0" w:color="auto"/>
        <w:left w:val="none" w:sz="0" w:space="0" w:color="auto"/>
        <w:bottom w:val="none" w:sz="0" w:space="0" w:color="auto"/>
        <w:right w:val="none" w:sz="0" w:space="0" w:color="auto"/>
      </w:divBdr>
    </w:div>
    <w:div w:id="1469396969">
      <w:bodyDiv w:val="1"/>
      <w:marLeft w:val="0"/>
      <w:marRight w:val="0"/>
      <w:marTop w:val="0"/>
      <w:marBottom w:val="0"/>
      <w:divBdr>
        <w:top w:val="none" w:sz="0" w:space="0" w:color="auto"/>
        <w:left w:val="none" w:sz="0" w:space="0" w:color="auto"/>
        <w:bottom w:val="none" w:sz="0" w:space="0" w:color="auto"/>
        <w:right w:val="none" w:sz="0" w:space="0" w:color="auto"/>
      </w:divBdr>
    </w:div>
    <w:div w:id="1500579761">
      <w:bodyDiv w:val="1"/>
      <w:marLeft w:val="0"/>
      <w:marRight w:val="0"/>
      <w:marTop w:val="0"/>
      <w:marBottom w:val="0"/>
      <w:divBdr>
        <w:top w:val="none" w:sz="0" w:space="0" w:color="auto"/>
        <w:left w:val="none" w:sz="0" w:space="0" w:color="auto"/>
        <w:bottom w:val="none" w:sz="0" w:space="0" w:color="auto"/>
        <w:right w:val="none" w:sz="0" w:space="0" w:color="auto"/>
      </w:divBdr>
    </w:div>
    <w:div w:id="1500922579">
      <w:bodyDiv w:val="1"/>
      <w:marLeft w:val="0"/>
      <w:marRight w:val="0"/>
      <w:marTop w:val="0"/>
      <w:marBottom w:val="0"/>
      <w:divBdr>
        <w:top w:val="none" w:sz="0" w:space="0" w:color="auto"/>
        <w:left w:val="none" w:sz="0" w:space="0" w:color="auto"/>
        <w:bottom w:val="none" w:sz="0" w:space="0" w:color="auto"/>
        <w:right w:val="none" w:sz="0" w:space="0" w:color="auto"/>
      </w:divBdr>
    </w:div>
    <w:div w:id="1530265791">
      <w:bodyDiv w:val="1"/>
      <w:marLeft w:val="0"/>
      <w:marRight w:val="0"/>
      <w:marTop w:val="0"/>
      <w:marBottom w:val="0"/>
      <w:divBdr>
        <w:top w:val="none" w:sz="0" w:space="0" w:color="auto"/>
        <w:left w:val="none" w:sz="0" w:space="0" w:color="auto"/>
        <w:bottom w:val="none" w:sz="0" w:space="0" w:color="auto"/>
        <w:right w:val="none" w:sz="0" w:space="0" w:color="auto"/>
      </w:divBdr>
    </w:div>
    <w:div w:id="1530797777">
      <w:bodyDiv w:val="1"/>
      <w:marLeft w:val="0"/>
      <w:marRight w:val="0"/>
      <w:marTop w:val="0"/>
      <w:marBottom w:val="0"/>
      <w:divBdr>
        <w:top w:val="none" w:sz="0" w:space="0" w:color="auto"/>
        <w:left w:val="none" w:sz="0" w:space="0" w:color="auto"/>
        <w:bottom w:val="none" w:sz="0" w:space="0" w:color="auto"/>
        <w:right w:val="none" w:sz="0" w:space="0" w:color="auto"/>
      </w:divBdr>
      <w:divsChild>
        <w:div w:id="76751017">
          <w:marLeft w:val="1418"/>
          <w:marRight w:val="0"/>
          <w:marTop w:val="0"/>
          <w:marBottom w:val="101"/>
          <w:divBdr>
            <w:top w:val="none" w:sz="0" w:space="0" w:color="auto"/>
            <w:left w:val="none" w:sz="0" w:space="0" w:color="auto"/>
            <w:bottom w:val="none" w:sz="0" w:space="0" w:color="auto"/>
            <w:right w:val="none" w:sz="0" w:space="0" w:color="auto"/>
          </w:divBdr>
        </w:div>
        <w:div w:id="2011641392">
          <w:marLeft w:val="1418"/>
          <w:marRight w:val="0"/>
          <w:marTop w:val="0"/>
          <w:marBottom w:val="101"/>
          <w:divBdr>
            <w:top w:val="none" w:sz="0" w:space="0" w:color="auto"/>
            <w:left w:val="none" w:sz="0" w:space="0" w:color="auto"/>
            <w:bottom w:val="none" w:sz="0" w:space="0" w:color="auto"/>
            <w:right w:val="none" w:sz="0" w:space="0" w:color="auto"/>
          </w:divBdr>
        </w:div>
      </w:divsChild>
    </w:div>
    <w:div w:id="1551577151">
      <w:bodyDiv w:val="1"/>
      <w:marLeft w:val="0"/>
      <w:marRight w:val="0"/>
      <w:marTop w:val="0"/>
      <w:marBottom w:val="0"/>
      <w:divBdr>
        <w:top w:val="none" w:sz="0" w:space="0" w:color="auto"/>
        <w:left w:val="none" w:sz="0" w:space="0" w:color="auto"/>
        <w:bottom w:val="none" w:sz="0" w:space="0" w:color="auto"/>
        <w:right w:val="none" w:sz="0" w:space="0" w:color="auto"/>
      </w:divBdr>
    </w:div>
    <w:div w:id="1567181058">
      <w:bodyDiv w:val="1"/>
      <w:marLeft w:val="0"/>
      <w:marRight w:val="0"/>
      <w:marTop w:val="0"/>
      <w:marBottom w:val="0"/>
      <w:divBdr>
        <w:top w:val="none" w:sz="0" w:space="0" w:color="auto"/>
        <w:left w:val="none" w:sz="0" w:space="0" w:color="auto"/>
        <w:bottom w:val="none" w:sz="0" w:space="0" w:color="auto"/>
        <w:right w:val="none" w:sz="0" w:space="0" w:color="auto"/>
      </w:divBdr>
    </w:div>
    <w:div w:id="1580215850">
      <w:bodyDiv w:val="1"/>
      <w:marLeft w:val="0"/>
      <w:marRight w:val="0"/>
      <w:marTop w:val="0"/>
      <w:marBottom w:val="0"/>
      <w:divBdr>
        <w:top w:val="none" w:sz="0" w:space="0" w:color="auto"/>
        <w:left w:val="none" w:sz="0" w:space="0" w:color="auto"/>
        <w:bottom w:val="none" w:sz="0" w:space="0" w:color="auto"/>
        <w:right w:val="none" w:sz="0" w:space="0" w:color="auto"/>
      </w:divBdr>
    </w:div>
    <w:div w:id="1588538086">
      <w:bodyDiv w:val="1"/>
      <w:marLeft w:val="0"/>
      <w:marRight w:val="0"/>
      <w:marTop w:val="0"/>
      <w:marBottom w:val="0"/>
      <w:divBdr>
        <w:top w:val="none" w:sz="0" w:space="0" w:color="auto"/>
        <w:left w:val="none" w:sz="0" w:space="0" w:color="auto"/>
        <w:bottom w:val="none" w:sz="0" w:space="0" w:color="auto"/>
        <w:right w:val="none" w:sz="0" w:space="0" w:color="auto"/>
      </w:divBdr>
      <w:divsChild>
        <w:div w:id="178282165">
          <w:marLeft w:val="0"/>
          <w:marRight w:val="0"/>
          <w:marTop w:val="0"/>
          <w:marBottom w:val="101"/>
          <w:divBdr>
            <w:top w:val="none" w:sz="0" w:space="0" w:color="auto"/>
            <w:left w:val="none" w:sz="0" w:space="0" w:color="auto"/>
            <w:bottom w:val="none" w:sz="0" w:space="0" w:color="auto"/>
            <w:right w:val="none" w:sz="0" w:space="0" w:color="auto"/>
          </w:divBdr>
        </w:div>
        <w:div w:id="1882356970">
          <w:marLeft w:val="0"/>
          <w:marRight w:val="0"/>
          <w:marTop w:val="0"/>
          <w:marBottom w:val="101"/>
          <w:divBdr>
            <w:top w:val="none" w:sz="0" w:space="0" w:color="auto"/>
            <w:left w:val="none" w:sz="0" w:space="0" w:color="auto"/>
            <w:bottom w:val="none" w:sz="0" w:space="0" w:color="auto"/>
            <w:right w:val="none" w:sz="0" w:space="0" w:color="auto"/>
          </w:divBdr>
        </w:div>
        <w:div w:id="934216376">
          <w:marLeft w:val="0"/>
          <w:marRight w:val="0"/>
          <w:marTop w:val="0"/>
          <w:marBottom w:val="101"/>
          <w:divBdr>
            <w:top w:val="none" w:sz="0" w:space="0" w:color="auto"/>
            <w:left w:val="none" w:sz="0" w:space="0" w:color="auto"/>
            <w:bottom w:val="none" w:sz="0" w:space="0" w:color="auto"/>
            <w:right w:val="none" w:sz="0" w:space="0" w:color="auto"/>
          </w:divBdr>
        </w:div>
      </w:divsChild>
    </w:div>
    <w:div w:id="1612973540">
      <w:bodyDiv w:val="1"/>
      <w:marLeft w:val="0"/>
      <w:marRight w:val="0"/>
      <w:marTop w:val="0"/>
      <w:marBottom w:val="0"/>
      <w:divBdr>
        <w:top w:val="none" w:sz="0" w:space="0" w:color="auto"/>
        <w:left w:val="none" w:sz="0" w:space="0" w:color="auto"/>
        <w:bottom w:val="none" w:sz="0" w:space="0" w:color="auto"/>
        <w:right w:val="none" w:sz="0" w:space="0" w:color="auto"/>
      </w:divBdr>
    </w:div>
    <w:div w:id="1624655783">
      <w:bodyDiv w:val="1"/>
      <w:marLeft w:val="0"/>
      <w:marRight w:val="0"/>
      <w:marTop w:val="0"/>
      <w:marBottom w:val="0"/>
      <w:divBdr>
        <w:top w:val="none" w:sz="0" w:space="0" w:color="auto"/>
        <w:left w:val="none" w:sz="0" w:space="0" w:color="auto"/>
        <w:bottom w:val="none" w:sz="0" w:space="0" w:color="auto"/>
        <w:right w:val="none" w:sz="0" w:space="0" w:color="auto"/>
      </w:divBdr>
    </w:div>
    <w:div w:id="1633317873">
      <w:bodyDiv w:val="1"/>
      <w:marLeft w:val="0"/>
      <w:marRight w:val="0"/>
      <w:marTop w:val="0"/>
      <w:marBottom w:val="0"/>
      <w:divBdr>
        <w:top w:val="none" w:sz="0" w:space="0" w:color="auto"/>
        <w:left w:val="none" w:sz="0" w:space="0" w:color="auto"/>
        <w:bottom w:val="none" w:sz="0" w:space="0" w:color="auto"/>
        <w:right w:val="none" w:sz="0" w:space="0" w:color="auto"/>
      </w:divBdr>
    </w:div>
    <w:div w:id="1637099599">
      <w:bodyDiv w:val="1"/>
      <w:marLeft w:val="0"/>
      <w:marRight w:val="0"/>
      <w:marTop w:val="0"/>
      <w:marBottom w:val="0"/>
      <w:divBdr>
        <w:top w:val="none" w:sz="0" w:space="0" w:color="auto"/>
        <w:left w:val="none" w:sz="0" w:space="0" w:color="auto"/>
        <w:bottom w:val="none" w:sz="0" w:space="0" w:color="auto"/>
        <w:right w:val="none" w:sz="0" w:space="0" w:color="auto"/>
      </w:divBdr>
      <w:divsChild>
        <w:div w:id="654651294">
          <w:marLeft w:val="0"/>
          <w:marRight w:val="0"/>
          <w:marTop w:val="0"/>
          <w:marBottom w:val="101"/>
          <w:divBdr>
            <w:top w:val="none" w:sz="0" w:space="0" w:color="auto"/>
            <w:left w:val="none" w:sz="0" w:space="0" w:color="auto"/>
            <w:bottom w:val="none" w:sz="0" w:space="0" w:color="auto"/>
            <w:right w:val="none" w:sz="0" w:space="0" w:color="auto"/>
          </w:divBdr>
        </w:div>
      </w:divsChild>
    </w:div>
    <w:div w:id="1654138887">
      <w:bodyDiv w:val="1"/>
      <w:marLeft w:val="0"/>
      <w:marRight w:val="0"/>
      <w:marTop w:val="0"/>
      <w:marBottom w:val="0"/>
      <w:divBdr>
        <w:top w:val="none" w:sz="0" w:space="0" w:color="auto"/>
        <w:left w:val="none" w:sz="0" w:space="0" w:color="auto"/>
        <w:bottom w:val="none" w:sz="0" w:space="0" w:color="auto"/>
        <w:right w:val="none" w:sz="0" w:space="0" w:color="auto"/>
      </w:divBdr>
    </w:div>
    <w:div w:id="1713767017">
      <w:bodyDiv w:val="1"/>
      <w:marLeft w:val="0"/>
      <w:marRight w:val="0"/>
      <w:marTop w:val="0"/>
      <w:marBottom w:val="0"/>
      <w:divBdr>
        <w:top w:val="none" w:sz="0" w:space="0" w:color="auto"/>
        <w:left w:val="none" w:sz="0" w:space="0" w:color="auto"/>
        <w:bottom w:val="none" w:sz="0" w:space="0" w:color="auto"/>
        <w:right w:val="none" w:sz="0" w:space="0" w:color="auto"/>
      </w:divBdr>
    </w:div>
    <w:div w:id="1733386624">
      <w:bodyDiv w:val="1"/>
      <w:marLeft w:val="0"/>
      <w:marRight w:val="0"/>
      <w:marTop w:val="0"/>
      <w:marBottom w:val="0"/>
      <w:divBdr>
        <w:top w:val="none" w:sz="0" w:space="0" w:color="auto"/>
        <w:left w:val="none" w:sz="0" w:space="0" w:color="auto"/>
        <w:bottom w:val="none" w:sz="0" w:space="0" w:color="auto"/>
        <w:right w:val="none" w:sz="0" w:space="0" w:color="auto"/>
      </w:divBdr>
    </w:div>
    <w:div w:id="1737389894">
      <w:bodyDiv w:val="1"/>
      <w:marLeft w:val="0"/>
      <w:marRight w:val="0"/>
      <w:marTop w:val="0"/>
      <w:marBottom w:val="0"/>
      <w:divBdr>
        <w:top w:val="none" w:sz="0" w:space="0" w:color="auto"/>
        <w:left w:val="none" w:sz="0" w:space="0" w:color="auto"/>
        <w:bottom w:val="none" w:sz="0" w:space="0" w:color="auto"/>
        <w:right w:val="none" w:sz="0" w:space="0" w:color="auto"/>
      </w:divBdr>
    </w:div>
    <w:div w:id="1763212014">
      <w:bodyDiv w:val="1"/>
      <w:marLeft w:val="0"/>
      <w:marRight w:val="0"/>
      <w:marTop w:val="0"/>
      <w:marBottom w:val="0"/>
      <w:divBdr>
        <w:top w:val="none" w:sz="0" w:space="0" w:color="auto"/>
        <w:left w:val="none" w:sz="0" w:space="0" w:color="auto"/>
        <w:bottom w:val="none" w:sz="0" w:space="0" w:color="auto"/>
        <w:right w:val="none" w:sz="0" w:space="0" w:color="auto"/>
      </w:divBdr>
      <w:divsChild>
        <w:div w:id="1404989327">
          <w:marLeft w:val="0"/>
          <w:marRight w:val="0"/>
          <w:marTop w:val="0"/>
          <w:marBottom w:val="0"/>
          <w:divBdr>
            <w:top w:val="none" w:sz="0" w:space="0" w:color="auto"/>
            <w:left w:val="none" w:sz="0" w:space="0" w:color="auto"/>
            <w:bottom w:val="none" w:sz="0" w:space="0" w:color="auto"/>
            <w:right w:val="none" w:sz="0" w:space="0" w:color="auto"/>
          </w:divBdr>
          <w:divsChild>
            <w:div w:id="712770058">
              <w:marLeft w:val="0"/>
              <w:marRight w:val="0"/>
              <w:marTop w:val="144"/>
              <w:marBottom w:val="0"/>
              <w:divBdr>
                <w:top w:val="none" w:sz="0" w:space="0" w:color="auto"/>
                <w:left w:val="none" w:sz="0" w:space="0" w:color="auto"/>
                <w:bottom w:val="none" w:sz="0" w:space="0" w:color="auto"/>
                <w:right w:val="none" w:sz="0" w:space="0" w:color="auto"/>
              </w:divBdr>
              <w:divsChild>
                <w:div w:id="472144103">
                  <w:marLeft w:val="0"/>
                  <w:marRight w:val="0"/>
                  <w:marTop w:val="0"/>
                  <w:marBottom w:val="0"/>
                  <w:divBdr>
                    <w:top w:val="none" w:sz="0" w:space="0" w:color="auto"/>
                    <w:left w:val="none" w:sz="0" w:space="0" w:color="auto"/>
                    <w:bottom w:val="none" w:sz="0" w:space="0" w:color="auto"/>
                    <w:right w:val="none" w:sz="0" w:space="0" w:color="auto"/>
                  </w:divBdr>
                </w:div>
                <w:div w:id="423575274">
                  <w:marLeft w:val="0"/>
                  <w:marRight w:val="0"/>
                  <w:marTop w:val="0"/>
                  <w:marBottom w:val="0"/>
                  <w:divBdr>
                    <w:top w:val="none" w:sz="0" w:space="0" w:color="auto"/>
                    <w:left w:val="none" w:sz="0" w:space="0" w:color="auto"/>
                    <w:bottom w:val="none" w:sz="0" w:space="0" w:color="auto"/>
                    <w:right w:val="none" w:sz="0" w:space="0" w:color="auto"/>
                  </w:divBdr>
                  <w:divsChild>
                    <w:div w:id="1138230893">
                      <w:marLeft w:val="0"/>
                      <w:marRight w:val="0"/>
                      <w:marTop w:val="0"/>
                      <w:marBottom w:val="0"/>
                      <w:divBdr>
                        <w:top w:val="none" w:sz="0" w:space="0" w:color="auto"/>
                        <w:left w:val="none" w:sz="0" w:space="0" w:color="auto"/>
                        <w:bottom w:val="none" w:sz="0" w:space="0" w:color="auto"/>
                        <w:right w:val="none" w:sz="0" w:space="0" w:color="auto"/>
                      </w:divBdr>
                    </w:div>
                    <w:div w:id="1651128606">
                      <w:marLeft w:val="0"/>
                      <w:marRight w:val="0"/>
                      <w:marTop w:val="120"/>
                      <w:marBottom w:val="0"/>
                      <w:divBdr>
                        <w:top w:val="none" w:sz="0" w:space="0" w:color="auto"/>
                        <w:left w:val="none" w:sz="0" w:space="0" w:color="auto"/>
                        <w:bottom w:val="none" w:sz="0" w:space="0" w:color="auto"/>
                        <w:right w:val="none" w:sz="0" w:space="0" w:color="auto"/>
                      </w:divBdr>
                    </w:div>
                    <w:div w:id="1490637328">
                      <w:marLeft w:val="0"/>
                      <w:marRight w:val="0"/>
                      <w:marTop w:val="0"/>
                      <w:marBottom w:val="0"/>
                      <w:divBdr>
                        <w:top w:val="none" w:sz="0" w:space="0" w:color="auto"/>
                        <w:left w:val="none" w:sz="0" w:space="0" w:color="auto"/>
                        <w:bottom w:val="none" w:sz="0" w:space="0" w:color="auto"/>
                        <w:right w:val="none" w:sz="0" w:space="0" w:color="auto"/>
                      </w:divBdr>
                    </w:div>
                    <w:div w:id="1154926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64230100">
      <w:bodyDiv w:val="1"/>
      <w:marLeft w:val="0"/>
      <w:marRight w:val="0"/>
      <w:marTop w:val="0"/>
      <w:marBottom w:val="0"/>
      <w:divBdr>
        <w:top w:val="none" w:sz="0" w:space="0" w:color="auto"/>
        <w:left w:val="none" w:sz="0" w:space="0" w:color="auto"/>
        <w:bottom w:val="none" w:sz="0" w:space="0" w:color="auto"/>
        <w:right w:val="none" w:sz="0" w:space="0" w:color="auto"/>
      </w:divBdr>
    </w:div>
    <w:div w:id="1777215359">
      <w:bodyDiv w:val="1"/>
      <w:marLeft w:val="0"/>
      <w:marRight w:val="0"/>
      <w:marTop w:val="0"/>
      <w:marBottom w:val="0"/>
      <w:divBdr>
        <w:top w:val="none" w:sz="0" w:space="0" w:color="auto"/>
        <w:left w:val="none" w:sz="0" w:space="0" w:color="auto"/>
        <w:bottom w:val="none" w:sz="0" w:space="0" w:color="auto"/>
        <w:right w:val="none" w:sz="0" w:space="0" w:color="auto"/>
      </w:divBdr>
      <w:divsChild>
        <w:div w:id="16126164">
          <w:marLeft w:val="0"/>
          <w:marRight w:val="0"/>
          <w:marTop w:val="0"/>
          <w:marBottom w:val="101"/>
          <w:divBdr>
            <w:top w:val="none" w:sz="0" w:space="0" w:color="auto"/>
            <w:left w:val="none" w:sz="0" w:space="0" w:color="auto"/>
            <w:bottom w:val="none" w:sz="0" w:space="0" w:color="auto"/>
            <w:right w:val="none" w:sz="0" w:space="0" w:color="auto"/>
          </w:divBdr>
        </w:div>
        <w:div w:id="842009226">
          <w:marLeft w:val="0"/>
          <w:marRight w:val="0"/>
          <w:marTop w:val="0"/>
          <w:marBottom w:val="101"/>
          <w:divBdr>
            <w:top w:val="none" w:sz="0" w:space="0" w:color="auto"/>
            <w:left w:val="none" w:sz="0" w:space="0" w:color="auto"/>
            <w:bottom w:val="none" w:sz="0" w:space="0" w:color="auto"/>
            <w:right w:val="none" w:sz="0" w:space="0" w:color="auto"/>
          </w:divBdr>
        </w:div>
        <w:div w:id="1743673426">
          <w:marLeft w:val="0"/>
          <w:marRight w:val="0"/>
          <w:marTop w:val="0"/>
          <w:marBottom w:val="101"/>
          <w:divBdr>
            <w:top w:val="none" w:sz="0" w:space="0" w:color="auto"/>
            <w:left w:val="none" w:sz="0" w:space="0" w:color="auto"/>
            <w:bottom w:val="none" w:sz="0" w:space="0" w:color="auto"/>
            <w:right w:val="none" w:sz="0" w:space="0" w:color="auto"/>
          </w:divBdr>
        </w:div>
        <w:div w:id="1405301532">
          <w:marLeft w:val="0"/>
          <w:marRight w:val="0"/>
          <w:marTop w:val="0"/>
          <w:marBottom w:val="101"/>
          <w:divBdr>
            <w:top w:val="none" w:sz="0" w:space="0" w:color="auto"/>
            <w:left w:val="none" w:sz="0" w:space="0" w:color="auto"/>
            <w:bottom w:val="none" w:sz="0" w:space="0" w:color="auto"/>
            <w:right w:val="none" w:sz="0" w:space="0" w:color="auto"/>
          </w:divBdr>
        </w:div>
        <w:div w:id="1523468869">
          <w:marLeft w:val="0"/>
          <w:marRight w:val="0"/>
          <w:marTop w:val="0"/>
          <w:marBottom w:val="101"/>
          <w:divBdr>
            <w:top w:val="none" w:sz="0" w:space="0" w:color="auto"/>
            <w:left w:val="none" w:sz="0" w:space="0" w:color="auto"/>
            <w:bottom w:val="none" w:sz="0" w:space="0" w:color="auto"/>
            <w:right w:val="none" w:sz="0" w:space="0" w:color="auto"/>
          </w:divBdr>
        </w:div>
      </w:divsChild>
    </w:div>
    <w:div w:id="1815443003">
      <w:bodyDiv w:val="1"/>
      <w:marLeft w:val="0"/>
      <w:marRight w:val="0"/>
      <w:marTop w:val="0"/>
      <w:marBottom w:val="0"/>
      <w:divBdr>
        <w:top w:val="none" w:sz="0" w:space="0" w:color="auto"/>
        <w:left w:val="none" w:sz="0" w:space="0" w:color="auto"/>
        <w:bottom w:val="none" w:sz="0" w:space="0" w:color="auto"/>
        <w:right w:val="none" w:sz="0" w:space="0" w:color="auto"/>
      </w:divBdr>
      <w:divsChild>
        <w:div w:id="1836220207">
          <w:marLeft w:val="0"/>
          <w:marRight w:val="0"/>
          <w:marTop w:val="0"/>
          <w:marBottom w:val="101"/>
          <w:divBdr>
            <w:top w:val="none" w:sz="0" w:space="0" w:color="auto"/>
            <w:left w:val="none" w:sz="0" w:space="0" w:color="auto"/>
            <w:bottom w:val="none" w:sz="0" w:space="0" w:color="auto"/>
            <w:right w:val="none" w:sz="0" w:space="0" w:color="auto"/>
          </w:divBdr>
        </w:div>
        <w:div w:id="1723479166">
          <w:marLeft w:val="0"/>
          <w:marRight w:val="0"/>
          <w:marTop w:val="0"/>
          <w:marBottom w:val="101"/>
          <w:divBdr>
            <w:top w:val="none" w:sz="0" w:space="0" w:color="auto"/>
            <w:left w:val="none" w:sz="0" w:space="0" w:color="auto"/>
            <w:bottom w:val="none" w:sz="0" w:space="0" w:color="auto"/>
            <w:right w:val="none" w:sz="0" w:space="0" w:color="auto"/>
          </w:divBdr>
        </w:div>
      </w:divsChild>
    </w:div>
    <w:div w:id="1849323902">
      <w:bodyDiv w:val="1"/>
      <w:marLeft w:val="0"/>
      <w:marRight w:val="0"/>
      <w:marTop w:val="0"/>
      <w:marBottom w:val="0"/>
      <w:divBdr>
        <w:top w:val="none" w:sz="0" w:space="0" w:color="auto"/>
        <w:left w:val="none" w:sz="0" w:space="0" w:color="auto"/>
        <w:bottom w:val="none" w:sz="0" w:space="0" w:color="auto"/>
        <w:right w:val="none" w:sz="0" w:space="0" w:color="auto"/>
      </w:divBdr>
      <w:divsChild>
        <w:div w:id="487943913">
          <w:marLeft w:val="0"/>
          <w:marRight w:val="0"/>
          <w:marTop w:val="0"/>
          <w:marBottom w:val="101"/>
          <w:divBdr>
            <w:top w:val="none" w:sz="0" w:space="0" w:color="auto"/>
            <w:left w:val="none" w:sz="0" w:space="0" w:color="auto"/>
            <w:bottom w:val="none" w:sz="0" w:space="0" w:color="auto"/>
            <w:right w:val="none" w:sz="0" w:space="0" w:color="auto"/>
          </w:divBdr>
        </w:div>
        <w:div w:id="2097168677">
          <w:marLeft w:val="0"/>
          <w:marRight w:val="0"/>
          <w:marTop w:val="0"/>
          <w:marBottom w:val="101"/>
          <w:divBdr>
            <w:top w:val="none" w:sz="0" w:space="0" w:color="auto"/>
            <w:left w:val="none" w:sz="0" w:space="0" w:color="auto"/>
            <w:bottom w:val="none" w:sz="0" w:space="0" w:color="auto"/>
            <w:right w:val="none" w:sz="0" w:space="0" w:color="auto"/>
          </w:divBdr>
        </w:div>
        <w:div w:id="1458794559">
          <w:marLeft w:val="0"/>
          <w:marRight w:val="0"/>
          <w:marTop w:val="0"/>
          <w:marBottom w:val="101"/>
          <w:divBdr>
            <w:top w:val="none" w:sz="0" w:space="0" w:color="auto"/>
            <w:left w:val="none" w:sz="0" w:space="0" w:color="auto"/>
            <w:bottom w:val="none" w:sz="0" w:space="0" w:color="auto"/>
            <w:right w:val="none" w:sz="0" w:space="0" w:color="auto"/>
          </w:divBdr>
        </w:div>
        <w:div w:id="947197292">
          <w:marLeft w:val="648"/>
          <w:marRight w:val="0"/>
          <w:marTop w:val="0"/>
          <w:marBottom w:val="101"/>
          <w:divBdr>
            <w:top w:val="none" w:sz="0" w:space="0" w:color="auto"/>
            <w:left w:val="none" w:sz="0" w:space="0" w:color="auto"/>
            <w:bottom w:val="none" w:sz="0" w:space="0" w:color="auto"/>
            <w:right w:val="none" w:sz="0" w:space="0" w:color="auto"/>
          </w:divBdr>
        </w:div>
        <w:div w:id="1517503848">
          <w:marLeft w:val="648"/>
          <w:marRight w:val="0"/>
          <w:marTop w:val="0"/>
          <w:marBottom w:val="101"/>
          <w:divBdr>
            <w:top w:val="none" w:sz="0" w:space="0" w:color="auto"/>
            <w:left w:val="none" w:sz="0" w:space="0" w:color="auto"/>
            <w:bottom w:val="none" w:sz="0" w:space="0" w:color="auto"/>
            <w:right w:val="none" w:sz="0" w:space="0" w:color="auto"/>
          </w:divBdr>
        </w:div>
        <w:div w:id="1298949151">
          <w:marLeft w:val="648"/>
          <w:marRight w:val="0"/>
          <w:marTop w:val="0"/>
          <w:marBottom w:val="101"/>
          <w:divBdr>
            <w:top w:val="none" w:sz="0" w:space="0" w:color="auto"/>
            <w:left w:val="none" w:sz="0" w:space="0" w:color="auto"/>
            <w:bottom w:val="none" w:sz="0" w:space="0" w:color="auto"/>
            <w:right w:val="none" w:sz="0" w:space="0" w:color="auto"/>
          </w:divBdr>
        </w:div>
        <w:div w:id="490369460">
          <w:marLeft w:val="648"/>
          <w:marRight w:val="0"/>
          <w:marTop w:val="0"/>
          <w:marBottom w:val="101"/>
          <w:divBdr>
            <w:top w:val="none" w:sz="0" w:space="0" w:color="auto"/>
            <w:left w:val="none" w:sz="0" w:space="0" w:color="auto"/>
            <w:bottom w:val="none" w:sz="0" w:space="0" w:color="auto"/>
            <w:right w:val="none" w:sz="0" w:space="0" w:color="auto"/>
          </w:divBdr>
        </w:div>
        <w:div w:id="870337881">
          <w:marLeft w:val="0"/>
          <w:marRight w:val="0"/>
          <w:marTop w:val="0"/>
          <w:marBottom w:val="101"/>
          <w:divBdr>
            <w:top w:val="none" w:sz="0" w:space="0" w:color="auto"/>
            <w:left w:val="none" w:sz="0" w:space="0" w:color="auto"/>
            <w:bottom w:val="none" w:sz="0" w:space="0" w:color="auto"/>
            <w:right w:val="none" w:sz="0" w:space="0" w:color="auto"/>
          </w:divBdr>
        </w:div>
      </w:divsChild>
    </w:div>
    <w:div w:id="1899900987">
      <w:bodyDiv w:val="1"/>
      <w:marLeft w:val="0"/>
      <w:marRight w:val="0"/>
      <w:marTop w:val="0"/>
      <w:marBottom w:val="0"/>
      <w:divBdr>
        <w:top w:val="none" w:sz="0" w:space="0" w:color="auto"/>
        <w:left w:val="none" w:sz="0" w:space="0" w:color="auto"/>
        <w:bottom w:val="none" w:sz="0" w:space="0" w:color="auto"/>
        <w:right w:val="none" w:sz="0" w:space="0" w:color="auto"/>
      </w:divBdr>
      <w:divsChild>
        <w:div w:id="1849639873">
          <w:marLeft w:val="0"/>
          <w:marRight w:val="0"/>
          <w:marTop w:val="0"/>
          <w:marBottom w:val="60"/>
          <w:divBdr>
            <w:top w:val="none" w:sz="0" w:space="0" w:color="auto"/>
            <w:left w:val="none" w:sz="0" w:space="0" w:color="auto"/>
            <w:bottom w:val="none" w:sz="0" w:space="0" w:color="auto"/>
            <w:right w:val="none" w:sz="0" w:space="0" w:color="auto"/>
          </w:divBdr>
        </w:div>
        <w:div w:id="1748067762">
          <w:marLeft w:val="0"/>
          <w:marRight w:val="0"/>
          <w:marTop w:val="0"/>
          <w:marBottom w:val="60"/>
          <w:divBdr>
            <w:top w:val="none" w:sz="0" w:space="0" w:color="auto"/>
            <w:left w:val="none" w:sz="0" w:space="0" w:color="auto"/>
            <w:bottom w:val="none" w:sz="0" w:space="0" w:color="auto"/>
            <w:right w:val="none" w:sz="0" w:space="0" w:color="auto"/>
          </w:divBdr>
        </w:div>
      </w:divsChild>
    </w:div>
    <w:div w:id="1905866914">
      <w:bodyDiv w:val="1"/>
      <w:marLeft w:val="0"/>
      <w:marRight w:val="0"/>
      <w:marTop w:val="0"/>
      <w:marBottom w:val="0"/>
      <w:divBdr>
        <w:top w:val="none" w:sz="0" w:space="0" w:color="auto"/>
        <w:left w:val="none" w:sz="0" w:space="0" w:color="auto"/>
        <w:bottom w:val="none" w:sz="0" w:space="0" w:color="auto"/>
        <w:right w:val="none" w:sz="0" w:space="0" w:color="auto"/>
      </w:divBdr>
    </w:div>
    <w:div w:id="1947301385">
      <w:bodyDiv w:val="1"/>
      <w:marLeft w:val="0"/>
      <w:marRight w:val="0"/>
      <w:marTop w:val="0"/>
      <w:marBottom w:val="0"/>
      <w:divBdr>
        <w:top w:val="none" w:sz="0" w:space="0" w:color="auto"/>
        <w:left w:val="none" w:sz="0" w:space="0" w:color="auto"/>
        <w:bottom w:val="none" w:sz="0" w:space="0" w:color="auto"/>
        <w:right w:val="none" w:sz="0" w:space="0" w:color="auto"/>
      </w:divBdr>
    </w:div>
    <w:div w:id="1967851894">
      <w:bodyDiv w:val="1"/>
      <w:marLeft w:val="0"/>
      <w:marRight w:val="0"/>
      <w:marTop w:val="0"/>
      <w:marBottom w:val="0"/>
      <w:divBdr>
        <w:top w:val="none" w:sz="0" w:space="0" w:color="auto"/>
        <w:left w:val="none" w:sz="0" w:space="0" w:color="auto"/>
        <w:bottom w:val="none" w:sz="0" w:space="0" w:color="auto"/>
        <w:right w:val="none" w:sz="0" w:space="0" w:color="auto"/>
      </w:divBdr>
    </w:div>
    <w:div w:id="1968661171">
      <w:bodyDiv w:val="1"/>
      <w:marLeft w:val="0"/>
      <w:marRight w:val="0"/>
      <w:marTop w:val="0"/>
      <w:marBottom w:val="0"/>
      <w:divBdr>
        <w:top w:val="none" w:sz="0" w:space="0" w:color="auto"/>
        <w:left w:val="none" w:sz="0" w:space="0" w:color="auto"/>
        <w:bottom w:val="none" w:sz="0" w:space="0" w:color="auto"/>
        <w:right w:val="none" w:sz="0" w:space="0" w:color="auto"/>
      </w:divBdr>
    </w:div>
    <w:div w:id="1972520397">
      <w:bodyDiv w:val="1"/>
      <w:marLeft w:val="0"/>
      <w:marRight w:val="0"/>
      <w:marTop w:val="0"/>
      <w:marBottom w:val="0"/>
      <w:divBdr>
        <w:top w:val="none" w:sz="0" w:space="0" w:color="auto"/>
        <w:left w:val="none" w:sz="0" w:space="0" w:color="auto"/>
        <w:bottom w:val="none" w:sz="0" w:space="0" w:color="auto"/>
        <w:right w:val="none" w:sz="0" w:space="0" w:color="auto"/>
      </w:divBdr>
    </w:div>
    <w:div w:id="1983343603">
      <w:bodyDiv w:val="1"/>
      <w:marLeft w:val="0"/>
      <w:marRight w:val="0"/>
      <w:marTop w:val="0"/>
      <w:marBottom w:val="0"/>
      <w:divBdr>
        <w:top w:val="none" w:sz="0" w:space="0" w:color="auto"/>
        <w:left w:val="none" w:sz="0" w:space="0" w:color="auto"/>
        <w:bottom w:val="none" w:sz="0" w:space="0" w:color="auto"/>
        <w:right w:val="none" w:sz="0" w:space="0" w:color="auto"/>
      </w:divBdr>
    </w:div>
    <w:div w:id="2056729281">
      <w:bodyDiv w:val="1"/>
      <w:marLeft w:val="0"/>
      <w:marRight w:val="0"/>
      <w:marTop w:val="0"/>
      <w:marBottom w:val="0"/>
      <w:divBdr>
        <w:top w:val="none" w:sz="0" w:space="0" w:color="auto"/>
        <w:left w:val="none" w:sz="0" w:space="0" w:color="auto"/>
        <w:bottom w:val="none" w:sz="0" w:space="0" w:color="auto"/>
        <w:right w:val="none" w:sz="0" w:space="0" w:color="auto"/>
      </w:divBdr>
      <w:divsChild>
        <w:div w:id="1401977933">
          <w:marLeft w:val="0"/>
          <w:marRight w:val="0"/>
          <w:marTop w:val="0"/>
          <w:marBottom w:val="0"/>
          <w:divBdr>
            <w:top w:val="none" w:sz="0" w:space="0" w:color="auto"/>
            <w:left w:val="none" w:sz="0" w:space="0" w:color="auto"/>
            <w:bottom w:val="none" w:sz="0" w:space="0" w:color="auto"/>
            <w:right w:val="none" w:sz="0" w:space="0" w:color="auto"/>
          </w:divBdr>
        </w:div>
        <w:div w:id="949431569">
          <w:marLeft w:val="0"/>
          <w:marRight w:val="0"/>
          <w:marTop w:val="0"/>
          <w:marBottom w:val="0"/>
          <w:divBdr>
            <w:top w:val="none" w:sz="0" w:space="0" w:color="auto"/>
            <w:left w:val="none" w:sz="0" w:space="0" w:color="auto"/>
            <w:bottom w:val="none" w:sz="0" w:space="0" w:color="auto"/>
            <w:right w:val="none" w:sz="0" w:space="0" w:color="auto"/>
          </w:divBdr>
        </w:div>
        <w:div w:id="70080738">
          <w:marLeft w:val="0"/>
          <w:marRight w:val="0"/>
          <w:marTop w:val="0"/>
          <w:marBottom w:val="0"/>
          <w:divBdr>
            <w:top w:val="none" w:sz="0" w:space="0" w:color="auto"/>
            <w:left w:val="none" w:sz="0" w:space="0" w:color="auto"/>
            <w:bottom w:val="none" w:sz="0" w:space="0" w:color="auto"/>
            <w:right w:val="none" w:sz="0" w:space="0" w:color="auto"/>
          </w:divBdr>
        </w:div>
        <w:div w:id="1730958127">
          <w:marLeft w:val="0"/>
          <w:marRight w:val="0"/>
          <w:marTop w:val="0"/>
          <w:marBottom w:val="0"/>
          <w:divBdr>
            <w:top w:val="none" w:sz="0" w:space="0" w:color="auto"/>
            <w:left w:val="none" w:sz="0" w:space="0" w:color="auto"/>
            <w:bottom w:val="none" w:sz="0" w:space="0" w:color="auto"/>
            <w:right w:val="none" w:sz="0" w:space="0" w:color="auto"/>
          </w:divBdr>
        </w:div>
        <w:div w:id="1625115763">
          <w:marLeft w:val="0"/>
          <w:marRight w:val="0"/>
          <w:marTop w:val="0"/>
          <w:marBottom w:val="0"/>
          <w:divBdr>
            <w:top w:val="none" w:sz="0" w:space="0" w:color="auto"/>
            <w:left w:val="none" w:sz="0" w:space="0" w:color="auto"/>
            <w:bottom w:val="none" w:sz="0" w:space="0" w:color="auto"/>
            <w:right w:val="none" w:sz="0" w:space="0" w:color="auto"/>
          </w:divBdr>
        </w:div>
        <w:div w:id="1916085747">
          <w:marLeft w:val="0"/>
          <w:marRight w:val="0"/>
          <w:marTop w:val="0"/>
          <w:marBottom w:val="0"/>
          <w:divBdr>
            <w:top w:val="none" w:sz="0" w:space="0" w:color="auto"/>
            <w:left w:val="none" w:sz="0" w:space="0" w:color="auto"/>
            <w:bottom w:val="none" w:sz="0" w:space="0" w:color="auto"/>
            <w:right w:val="none" w:sz="0" w:space="0" w:color="auto"/>
          </w:divBdr>
        </w:div>
        <w:div w:id="1842038629">
          <w:marLeft w:val="0"/>
          <w:marRight w:val="0"/>
          <w:marTop w:val="0"/>
          <w:marBottom w:val="0"/>
          <w:divBdr>
            <w:top w:val="none" w:sz="0" w:space="0" w:color="auto"/>
            <w:left w:val="none" w:sz="0" w:space="0" w:color="auto"/>
            <w:bottom w:val="none" w:sz="0" w:space="0" w:color="auto"/>
            <w:right w:val="none" w:sz="0" w:space="0" w:color="auto"/>
          </w:divBdr>
        </w:div>
      </w:divsChild>
    </w:div>
    <w:div w:id="2094664166">
      <w:bodyDiv w:val="1"/>
      <w:marLeft w:val="0"/>
      <w:marRight w:val="0"/>
      <w:marTop w:val="0"/>
      <w:marBottom w:val="0"/>
      <w:divBdr>
        <w:top w:val="none" w:sz="0" w:space="0" w:color="auto"/>
        <w:left w:val="none" w:sz="0" w:space="0" w:color="auto"/>
        <w:bottom w:val="none" w:sz="0" w:space="0" w:color="auto"/>
        <w:right w:val="none" w:sz="0" w:space="0" w:color="auto"/>
      </w:divBdr>
    </w:div>
    <w:div w:id="2118477335">
      <w:bodyDiv w:val="1"/>
      <w:marLeft w:val="0"/>
      <w:marRight w:val="0"/>
      <w:marTop w:val="0"/>
      <w:marBottom w:val="0"/>
      <w:divBdr>
        <w:top w:val="none" w:sz="0" w:space="0" w:color="auto"/>
        <w:left w:val="none" w:sz="0" w:space="0" w:color="auto"/>
        <w:bottom w:val="none" w:sz="0" w:space="0" w:color="auto"/>
        <w:right w:val="none" w:sz="0" w:space="0" w:color="auto"/>
      </w:divBdr>
      <w:divsChild>
        <w:div w:id="1270552703">
          <w:marLeft w:val="0"/>
          <w:marRight w:val="0"/>
          <w:marTop w:val="0"/>
          <w:marBottom w:val="101"/>
          <w:divBdr>
            <w:top w:val="none" w:sz="0" w:space="0" w:color="auto"/>
            <w:left w:val="none" w:sz="0" w:space="0" w:color="auto"/>
            <w:bottom w:val="none" w:sz="0" w:space="0" w:color="auto"/>
            <w:right w:val="none" w:sz="0" w:space="0" w:color="auto"/>
          </w:divBdr>
        </w:div>
        <w:div w:id="1514804724">
          <w:marLeft w:val="720"/>
          <w:marRight w:val="0"/>
          <w:marTop w:val="0"/>
          <w:marBottom w:val="101"/>
          <w:divBdr>
            <w:top w:val="none" w:sz="0" w:space="0" w:color="auto"/>
            <w:left w:val="none" w:sz="0" w:space="0" w:color="auto"/>
            <w:bottom w:val="none" w:sz="0" w:space="0" w:color="auto"/>
            <w:right w:val="none" w:sz="0" w:space="0" w:color="auto"/>
          </w:divBdr>
        </w:div>
        <w:div w:id="1345403614">
          <w:marLeft w:val="720"/>
          <w:marRight w:val="0"/>
          <w:marTop w:val="0"/>
          <w:marBottom w:val="101"/>
          <w:divBdr>
            <w:top w:val="none" w:sz="0" w:space="0" w:color="auto"/>
            <w:left w:val="none" w:sz="0" w:space="0" w:color="auto"/>
            <w:bottom w:val="none" w:sz="0" w:space="0" w:color="auto"/>
            <w:right w:val="none" w:sz="0" w:space="0" w:color="auto"/>
          </w:divBdr>
        </w:div>
        <w:div w:id="1972401425">
          <w:marLeft w:val="720"/>
          <w:marRight w:val="0"/>
          <w:marTop w:val="0"/>
          <w:marBottom w:val="101"/>
          <w:divBdr>
            <w:top w:val="none" w:sz="0" w:space="0" w:color="auto"/>
            <w:left w:val="none" w:sz="0" w:space="0" w:color="auto"/>
            <w:bottom w:val="none" w:sz="0" w:space="0" w:color="auto"/>
            <w:right w:val="none" w:sz="0" w:space="0" w:color="auto"/>
          </w:divBdr>
        </w:div>
        <w:div w:id="1165515792">
          <w:marLeft w:val="720"/>
          <w:marRight w:val="0"/>
          <w:marTop w:val="0"/>
          <w:marBottom w:val="101"/>
          <w:divBdr>
            <w:top w:val="none" w:sz="0" w:space="0" w:color="auto"/>
            <w:left w:val="none" w:sz="0" w:space="0" w:color="auto"/>
            <w:bottom w:val="none" w:sz="0" w:space="0" w:color="auto"/>
            <w:right w:val="none" w:sz="0" w:space="0" w:color="auto"/>
          </w:divBdr>
        </w:div>
      </w:divsChild>
    </w:div>
    <w:div w:id="2124684848">
      <w:bodyDiv w:val="1"/>
      <w:marLeft w:val="0"/>
      <w:marRight w:val="0"/>
      <w:marTop w:val="0"/>
      <w:marBottom w:val="0"/>
      <w:divBdr>
        <w:top w:val="none" w:sz="0" w:space="0" w:color="auto"/>
        <w:left w:val="none" w:sz="0" w:space="0" w:color="auto"/>
        <w:bottom w:val="none" w:sz="0" w:space="0" w:color="auto"/>
        <w:right w:val="none" w:sz="0" w:space="0" w:color="auto"/>
      </w:divBdr>
    </w:div>
    <w:div w:id="213590291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dof.gob.mx/nota_detalle.php?codigo=5676651&amp;fecha=10/01/2023" TargetMode="External"/><Relationship Id="rId13" Type="http://schemas.openxmlformats.org/officeDocument/2006/relationships/hyperlink" Target="https://dof.gob.mx/nota_detalle.php?codigo=5676811&amp;fecha=12/01/202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f.gob.mx/nota_detalle.php?codigo=5676813&amp;fecha=12/01/2023" TargetMode="External"/><Relationship Id="rId17" Type="http://schemas.openxmlformats.org/officeDocument/2006/relationships/hyperlink" Target="https://dof.gob.mx/nota_detalle.php?codigo=5678257&amp;fecha=30/01/2023" TargetMode="External"/><Relationship Id="rId2" Type="http://schemas.openxmlformats.org/officeDocument/2006/relationships/numbering" Target="numbering.xml"/><Relationship Id="rId16" Type="http://schemas.openxmlformats.org/officeDocument/2006/relationships/hyperlink" Target="https://dof.gob.mx/nota_detalle.php?codigo=5677772&amp;fecha=25/01/20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f.gob.mx/nota_detalle.php?codigo=5676729&amp;fecha=11/01/2023" TargetMode="External"/><Relationship Id="rId5" Type="http://schemas.openxmlformats.org/officeDocument/2006/relationships/webSettings" Target="webSettings.xml"/><Relationship Id="rId15" Type="http://schemas.openxmlformats.org/officeDocument/2006/relationships/hyperlink" Target="https://dof.gob.mx/nota_detalle.php?codigo=5677592&amp;fecha=23/01/2023" TargetMode="External"/><Relationship Id="rId10" Type="http://schemas.openxmlformats.org/officeDocument/2006/relationships/hyperlink" Target="https://dof.gob.mx/nota_detalle.php?codigo=5676670&amp;fecha=10/01/202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dof.gob.mx/nota_detalle.php?codigo=5676869&amp;fecha=13/01/202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07AB3-B240-4121-B9AE-9158971AD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3767</TotalTime>
  <Pages>4</Pages>
  <Words>1193</Words>
  <Characters>6563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 Soc</dc:creator>
  <cp:lastModifiedBy>Jose Luis. Navarrete Vuelvas</cp:lastModifiedBy>
  <cp:revision>230</cp:revision>
  <cp:lastPrinted>2021-01-29T22:36:00Z</cp:lastPrinted>
  <dcterms:created xsi:type="dcterms:W3CDTF">2019-01-03T20:20:00Z</dcterms:created>
  <dcterms:modified xsi:type="dcterms:W3CDTF">2023-02-01T17:29:00Z</dcterms:modified>
</cp:coreProperties>
</file>