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7633D564"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9C15EF">
        <w:rPr>
          <w:rFonts w:ascii="HelveticaNeueLT Std" w:hAnsi="HelveticaNeueLT Std" w:cs="Arial"/>
          <w:b/>
          <w:bCs/>
          <w:sz w:val="20"/>
          <w:szCs w:val="20"/>
        </w:rPr>
        <w:t>febrero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DD7C8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DD7C82">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0334F183" w:rsidR="009A45CF" w:rsidRPr="000D4D13" w:rsidRDefault="00D61C6C"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15</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55898087" w:rsidR="009A45CF" w:rsidRPr="00B80921" w:rsidRDefault="00DD7C8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18- febrero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02"/>
              <w:gridCol w:w="20"/>
              <w:gridCol w:w="1895"/>
              <w:gridCol w:w="20"/>
            </w:tblGrid>
            <w:tr w:rsidR="003B79F1" w:rsidRPr="00DD7C82" w14:paraId="04575D5B" w14:textId="77777777" w:rsidTr="00DD7C82">
              <w:trPr>
                <w:gridAfter w:val="2"/>
                <w:wAfter w:w="1915" w:type="dxa"/>
                <w:trHeight w:val="180"/>
                <w:tblCellSpacing w:w="0" w:type="dxa"/>
              </w:trPr>
              <w:tc>
                <w:tcPr>
                  <w:tcW w:w="2817" w:type="dxa"/>
                  <w:shd w:val="clear" w:color="auto" w:fill="FFFFFF"/>
                  <w:hideMark/>
                </w:tcPr>
                <w:p w14:paraId="35DA6C03" w14:textId="72628D74" w:rsidR="003B79F1" w:rsidRPr="00DD7C82" w:rsidRDefault="003B79F1" w:rsidP="00DD7C82">
                  <w:pPr>
                    <w:jc w:val="both"/>
                    <w:rPr>
                      <w:rFonts w:ascii="HelveticaNeueLT Std" w:hAnsi="HelveticaNeueLT Std" w:cs="Arial"/>
                      <w:b/>
                      <w:bCs/>
                      <w:sz w:val="20"/>
                      <w:szCs w:val="20"/>
                    </w:rPr>
                  </w:pPr>
                </w:p>
              </w:tc>
              <w:tc>
                <w:tcPr>
                  <w:tcW w:w="20" w:type="dxa"/>
                  <w:shd w:val="clear" w:color="auto" w:fill="FFFFFF"/>
                  <w:vAlign w:val="center"/>
                  <w:hideMark/>
                </w:tcPr>
                <w:p w14:paraId="176E7A52" w14:textId="77777777" w:rsidR="003B79F1" w:rsidRPr="00DD7C82" w:rsidRDefault="003B79F1" w:rsidP="00DD7C82">
                  <w:pPr>
                    <w:jc w:val="both"/>
                    <w:rPr>
                      <w:rFonts w:ascii="HelveticaNeueLT Std" w:hAnsi="HelveticaNeueLT Std" w:cs="Arial"/>
                      <w:b/>
                      <w:bCs/>
                      <w:sz w:val="20"/>
                      <w:szCs w:val="20"/>
                    </w:rPr>
                  </w:pPr>
                </w:p>
              </w:tc>
            </w:tr>
            <w:tr w:rsidR="00DD7C82" w:rsidRPr="00DD7C82" w14:paraId="2C17A54D" w14:textId="77777777" w:rsidTr="00DD7C82">
              <w:trPr>
                <w:tblCellSpacing w:w="0" w:type="dxa"/>
              </w:trPr>
              <w:tc>
                <w:tcPr>
                  <w:tcW w:w="8832" w:type="dxa"/>
                  <w:gridSpan w:val="3"/>
                  <w:shd w:val="clear" w:color="auto" w:fill="FFFFFF"/>
                  <w:vAlign w:val="center"/>
                  <w:hideMark/>
                </w:tcPr>
                <w:p w14:paraId="44F756F1" w14:textId="77777777" w:rsidR="00DD7C82" w:rsidRPr="00DD7C82" w:rsidRDefault="00423499" w:rsidP="00DD7C82">
                  <w:pPr>
                    <w:jc w:val="both"/>
                    <w:rPr>
                      <w:rFonts w:ascii="HelveticaNeueLT Std" w:hAnsi="HelveticaNeueLT Std" w:cs="Arial"/>
                      <w:b/>
                      <w:bCs/>
                      <w:sz w:val="20"/>
                      <w:szCs w:val="20"/>
                    </w:rPr>
                  </w:pPr>
                  <w:hyperlink r:id="rId8" w:history="1">
                    <w:r w:rsidR="00DD7C82" w:rsidRPr="00DD7C82">
                      <w:rPr>
                        <w:rFonts w:ascii="HelveticaNeueLT Std" w:hAnsi="HelveticaNeueLT Std"/>
                        <w:b/>
                        <w:bCs/>
                        <w:sz w:val="20"/>
                        <w:szCs w:val="20"/>
                      </w:rPr>
                      <w:t>Primera Resolución de Modificaciones a la Resolución Miscelánea Fiscal para 2022 y su Anexo 1-A.</w:t>
                    </w:r>
                  </w:hyperlink>
                </w:p>
              </w:tc>
              <w:tc>
                <w:tcPr>
                  <w:tcW w:w="6" w:type="dxa"/>
                  <w:shd w:val="clear" w:color="auto" w:fill="FFFFFF"/>
                  <w:vAlign w:val="center"/>
                  <w:hideMark/>
                </w:tcPr>
                <w:p w14:paraId="5FCF3B02" w14:textId="77777777" w:rsidR="00DD7C82" w:rsidRPr="00DD7C82" w:rsidRDefault="00DD7C82" w:rsidP="00DD7C82">
                  <w:pPr>
                    <w:jc w:val="both"/>
                    <w:rPr>
                      <w:rFonts w:ascii="HelveticaNeueLT Std" w:hAnsi="HelveticaNeueLT Std" w:cs="Arial"/>
                      <w:b/>
                      <w:bCs/>
                      <w:sz w:val="20"/>
                      <w:szCs w:val="20"/>
                    </w:rPr>
                  </w:pPr>
                </w:p>
              </w:tc>
            </w:tr>
            <w:tr w:rsidR="00DD7C82" w:rsidRPr="00DD7C82" w14:paraId="66993A03" w14:textId="77777777" w:rsidTr="00DD7C82">
              <w:trPr>
                <w:trHeight w:val="180"/>
                <w:tblCellSpacing w:w="0" w:type="dxa"/>
              </w:trPr>
              <w:tc>
                <w:tcPr>
                  <w:tcW w:w="8832" w:type="dxa"/>
                  <w:gridSpan w:val="3"/>
                  <w:shd w:val="clear" w:color="auto" w:fill="FFFFFF"/>
                  <w:hideMark/>
                </w:tcPr>
                <w:p w14:paraId="222D5231" w14:textId="19AFAE2A" w:rsidR="00DD7C82" w:rsidRPr="00DD7C82" w:rsidRDefault="00DD7C82" w:rsidP="00DD7C82">
                  <w:pPr>
                    <w:jc w:val="both"/>
                    <w:rPr>
                      <w:rFonts w:ascii="HelveticaNeueLT Std" w:hAnsi="HelveticaNeueLT Std" w:cs="Arial"/>
                      <w:b/>
                      <w:bCs/>
                      <w:sz w:val="20"/>
                      <w:szCs w:val="20"/>
                    </w:rPr>
                  </w:pPr>
                  <w:r w:rsidRPr="00DD7C82">
                    <w:rPr>
                      <w:rFonts w:ascii="HelveticaNeueLT Std" w:hAnsi="HelveticaNeueLT Std" w:cs="Arial"/>
                      <w:b/>
                      <w:bCs/>
                      <w:noProof/>
                      <w:sz w:val="20"/>
                      <w:szCs w:val="20"/>
                      <w:lang w:eastAsia="es-MX"/>
                    </w:rPr>
                    <w:drawing>
                      <wp:inline distT="0" distB="0" distL="0" distR="0" wp14:anchorId="336857A6" wp14:editId="53630B27">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3FB6E5C3" w14:textId="77777777" w:rsidR="00DD7C82" w:rsidRPr="00DD7C82" w:rsidRDefault="00DD7C82" w:rsidP="00DD7C82">
                  <w:pPr>
                    <w:jc w:val="both"/>
                    <w:rPr>
                      <w:rFonts w:ascii="HelveticaNeueLT Std" w:hAnsi="HelveticaNeueLT Std" w:cs="Arial"/>
                      <w:b/>
                      <w:bCs/>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Pr>
          <w:p w14:paraId="6E0A2724" w14:textId="77777777" w:rsidR="007071F3" w:rsidRPr="00DD7C82" w:rsidRDefault="007071F3" w:rsidP="00B80921">
            <w:pPr>
              <w:pStyle w:val="Titulo1"/>
              <w:pBdr>
                <w:bottom w:val="none" w:sz="0" w:space="0" w:color="auto"/>
              </w:pBdr>
              <w:tabs>
                <w:tab w:val="left" w:pos="2765"/>
              </w:tabs>
              <w:spacing w:before="0" w:line="276" w:lineRule="auto"/>
              <w:ind w:right="72"/>
              <w:rPr>
                <w:rFonts w:ascii="HelveticaNeueLT Std" w:hAnsi="HelveticaNeueLT Std"/>
                <w:b w:val="0"/>
                <w:color w:val="2F2F2F"/>
                <w:sz w:val="20"/>
                <w:szCs w:val="20"/>
                <w:shd w:val="clear" w:color="auto" w:fill="FFFFFF"/>
              </w:rPr>
            </w:pPr>
          </w:p>
          <w:p w14:paraId="786CDBFF" w14:textId="65225DE8" w:rsidR="00DD7C82" w:rsidRDefault="00DD7C82" w:rsidP="00B80921">
            <w:pPr>
              <w:pStyle w:val="Titulo1"/>
              <w:pBdr>
                <w:bottom w:val="none" w:sz="0" w:space="0" w:color="auto"/>
              </w:pBdr>
              <w:tabs>
                <w:tab w:val="left" w:pos="2765"/>
              </w:tabs>
              <w:spacing w:before="0" w:line="276" w:lineRule="auto"/>
              <w:ind w:right="72"/>
              <w:rPr>
                <w:rFonts w:ascii="HelveticaNeueLT Std Lt" w:hAnsi="HelveticaNeueLT Std Lt"/>
                <w:sz w:val="20"/>
                <w:szCs w:val="20"/>
              </w:rPr>
            </w:pPr>
            <w:r w:rsidRPr="00DD7C82">
              <w:rPr>
                <w:rFonts w:ascii="HelveticaNeueLT Std Lt" w:hAnsi="HelveticaNeueLT Std Lt"/>
                <w:b w:val="0"/>
                <w:color w:val="2F2F2F"/>
                <w:sz w:val="20"/>
                <w:szCs w:val="20"/>
                <w:shd w:val="clear" w:color="auto" w:fill="FFFFFF"/>
              </w:rPr>
              <w:t xml:space="preserve">A través de la presente resolución se </w:t>
            </w:r>
            <w:proofErr w:type="spellStart"/>
            <w:r w:rsidRPr="00DD7C82">
              <w:rPr>
                <w:rFonts w:ascii="HelveticaNeueLT Std Lt" w:hAnsi="HelveticaNeueLT Std Lt"/>
                <w:sz w:val="20"/>
                <w:szCs w:val="20"/>
              </w:rPr>
              <w:t>Se</w:t>
            </w:r>
            <w:proofErr w:type="spellEnd"/>
            <w:r w:rsidRPr="00DD7C82">
              <w:rPr>
                <w:rFonts w:ascii="HelveticaNeueLT Std Lt" w:hAnsi="HelveticaNeueLT Std Lt"/>
                <w:sz w:val="20"/>
                <w:szCs w:val="20"/>
              </w:rPr>
              <w:t xml:space="preserve"> </w:t>
            </w:r>
            <w:r w:rsidRPr="00DD7C82">
              <w:rPr>
                <w:rFonts w:ascii="HelveticaNeueLT Std Lt" w:hAnsi="HelveticaNeueLT Std Lt"/>
                <w:b w:val="0"/>
                <w:sz w:val="20"/>
                <w:szCs w:val="20"/>
              </w:rPr>
              <w:t xml:space="preserve">reforman </w:t>
            </w:r>
            <w:r w:rsidRPr="00DD7C82">
              <w:rPr>
                <w:rFonts w:ascii="HelveticaNeueLT Std Lt" w:hAnsi="HelveticaNeueLT Std Lt"/>
                <w:sz w:val="20"/>
                <w:szCs w:val="20"/>
              </w:rPr>
              <w:t xml:space="preserve">las reglas 2.7.1.20., cuarto párrafo, fracción II, inciso c); 2.7.1.21., primer párrafo; 2.7.1.47., primer párrafo; 2.7.3.1., primer párrafo; 2.7.3.2., primer párrafo; 2.7.3.3., primer párrafo; 2.7.3.4., primer párrafo; 2.7.3.5., primer párrafo; 2.7.3.6.; 2.7.3.7., primer y segundo párrafos; 2.7.3.8., primer y segundo párrafos; 2.7.3.9., primer párrafo, 2.14.3., segundo párrafo y el actual octavo párrafo; 3.13.11. y 3.16.11.; y se </w:t>
            </w:r>
            <w:r w:rsidRPr="00DD7C82">
              <w:rPr>
                <w:rFonts w:ascii="HelveticaNeueLT Std Lt" w:hAnsi="HelveticaNeueLT Std Lt"/>
                <w:b w:val="0"/>
                <w:sz w:val="20"/>
                <w:szCs w:val="20"/>
              </w:rPr>
              <w:t>adicionan</w:t>
            </w:r>
            <w:r w:rsidRPr="00DD7C82">
              <w:rPr>
                <w:rFonts w:ascii="HelveticaNeueLT Std Lt" w:hAnsi="HelveticaNeueLT Std Lt"/>
                <w:sz w:val="20"/>
                <w:szCs w:val="20"/>
              </w:rPr>
              <w:t xml:space="preserve"> las reglas 2.1.37., séptimo párrafo, inciso iv; 2.1.52.; 2.7.1.20., párrafos octavo y noveno; 2.7.3.10.; 2.14.3., octavo párrafo, pasando el actual octavo a ser noveno párrafo; 3.13.30., así como, el Título 13, que comprende la regla 13.1., de la Resolución Miscelánea Fiscal para 2022, para quedar de la siguiente manera:</w:t>
            </w:r>
          </w:p>
          <w:p w14:paraId="727981F1" w14:textId="77777777" w:rsidR="00DD7C82" w:rsidRPr="00DD7C82" w:rsidRDefault="00DD7C82" w:rsidP="00B80921">
            <w:pPr>
              <w:pStyle w:val="Titulo1"/>
              <w:pBdr>
                <w:bottom w:val="none" w:sz="0" w:space="0" w:color="auto"/>
              </w:pBdr>
              <w:tabs>
                <w:tab w:val="left" w:pos="2765"/>
              </w:tabs>
              <w:spacing w:before="0" w:line="276" w:lineRule="auto"/>
              <w:ind w:right="72"/>
              <w:rPr>
                <w:rFonts w:ascii="HelveticaNeueLT Std Lt" w:hAnsi="HelveticaNeueLT Std Lt"/>
                <w:b w:val="0"/>
                <w:color w:val="2F2F2F"/>
                <w:sz w:val="20"/>
                <w:szCs w:val="20"/>
                <w:shd w:val="clear" w:color="auto" w:fill="FFFFFF"/>
              </w:rPr>
            </w:pPr>
          </w:p>
          <w:p w14:paraId="7C513C6B" w14:textId="77777777" w:rsidR="00DD7C82" w:rsidRPr="005E1746" w:rsidRDefault="00DD7C82" w:rsidP="00DD7C82">
            <w:pPr>
              <w:pStyle w:val="Texto"/>
              <w:numPr>
                <w:ilvl w:val="0"/>
                <w:numId w:val="42"/>
              </w:numPr>
              <w:spacing w:after="96" w:line="233" w:lineRule="exact"/>
              <w:rPr>
                <w:rFonts w:ascii="HelveticaNeueLT Std Lt" w:hAnsi="HelveticaNeueLT Std Lt"/>
                <w:sz w:val="20"/>
                <w:lang w:val="es-MX" w:eastAsia="es-MX"/>
              </w:rPr>
            </w:pPr>
            <w:r w:rsidRPr="005E1746">
              <w:rPr>
                <w:rFonts w:ascii="HelveticaNeueLT Std Lt" w:hAnsi="HelveticaNeueLT Std Lt"/>
                <w:sz w:val="20"/>
                <w:lang w:val="es-MX" w:eastAsia="es-MX"/>
              </w:rPr>
              <w:t>Procedimiento que debe observarse para la obtención de la opinión del cumplimiento de obligaciones fiscales</w:t>
            </w:r>
          </w:p>
          <w:p w14:paraId="5387D872" w14:textId="77777777" w:rsidR="00DD7C82" w:rsidRPr="005E1746" w:rsidRDefault="00DD7C82" w:rsidP="00DD7C82">
            <w:pPr>
              <w:pStyle w:val="Prrafodelista"/>
              <w:numPr>
                <w:ilvl w:val="0"/>
                <w:numId w:val="42"/>
              </w:numPr>
              <w:rPr>
                <w:rFonts w:ascii="HelveticaNeueLT Std Lt" w:eastAsia="Times New Roman" w:hAnsi="HelveticaNeueLT Std Lt" w:cs="Arial"/>
                <w:sz w:val="20"/>
                <w:szCs w:val="20"/>
                <w:lang w:eastAsia="es-MX"/>
              </w:rPr>
            </w:pPr>
            <w:r w:rsidRPr="005E1746">
              <w:rPr>
                <w:rFonts w:ascii="HelveticaNeueLT Std Lt" w:eastAsia="Times New Roman" w:hAnsi="HelveticaNeueLT Std Lt" w:cs="Arial"/>
                <w:sz w:val="20"/>
                <w:szCs w:val="20"/>
                <w:lang w:eastAsia="es-MX"/>
              </w:rPr>
              <w:t>Opción de realizar pagos a cuenta, por periodo o ejercicio de adeudos fiscales</w:t>
            </w:r>
          </w:p>
          <w:p w14:paraId="1D8765C2" w14:textId="77777777" w:rsidR="00DD7C82" w:rsidRPr="005E1746" w:rsidRDefault="00DD7C82" w:rsidP="00DD7C82">
            <w:pPr>
              <w:pStyle w:val="Prrafodelista"/>
              <w:numPr>
                <w:ilvl w:val="0"/>
                <w:numId w:val="42"/>
              </w:numPr>
              <w:rPr>
                <w:rFonts w:ascii="HelveticaNeueLT Std Lt" w:eastAsia="Times New Roman" w:hAnsi="HelveticaNeueLT Std Lt" w:cs="Arial"/>
                <w:sz w:val="20"/>
                <w:szCs w:val="20"/>
                <w:lang w:eastAsia="es-MX"/>
              </w:rPr>
            </w:pPr>
            <w:proofErr w:type="spellStart"/>
            <w:r w:rsidRPr="005E1746">
              <w:rPr>
                <w:rFonts w:ascii="HelveticaNeueLT Std Lt" w:eastAsia="Times New Roman" w:hAnsi="HelveticaNeueLT Std Lt" w:cs="Arial"/>
                <w:sz w:val="20"/>
                <w:szCs w:val="20"/>
                <w:lang w:eastAsia="es-MX"/>
              </w:rPr>
              <w:t>CFDI</w:t>
            </w:r>
            <w:proofErr w:type="spellEnd"/>
            <w:r w:rsidRPr="005E1746">
              <w:rPr>
                <w:rFonts w:ascii="HelveticaNeueLT Std Lt" w:eastAsia="Times New Roman" w:hAnsi="HelveticaNeueLT Std Lt" w:cs="Arial"/>
                <w:sz w:val="20"/>
                <w:szCs w:val="20"/>
                <w:lang w:eastAsia="es-MX"/>
              </w:rPr>
              <w:t xml:space="preserve"> en operaciones traslativas de dominio de bienes inmuebles celebradas ante notario público</w:t>
            </w:r>
          </w:p>
          <w:p w14:paraId="30355495" w14:textId="77777777" w:rsidR="00DD7C82" w:rsidRPr="00652F43" w:rsidRDefault="00DD7C82" w:rsidP="00DD7C82">
            <w:pPr>
              <w:pStyle w:val="Texto"/>
              <w:numPr>
                <w:ilvl w:val="0"/>
                <w:numId w:val="42"/>
              </w:numPr>
              <w:spacing w:line="233" w:lineRule="exact"/>
              <w:rPr>
                <w:rFonts w:ascii="HelveticaNeueLT Std Lt" w:hAnsi="HelveticaNeueLT Std Lt"/>
                <w:b/>
                <w:sz w:val="20"/>
                <w:lang w:val="es-MX" w:eastAsia="es-MX"/>
              </w:rPr>
            </w:pPr>
            <w:r w:rsidRPr="005E1746">
              <w:rPr>
                <w:rFonts w:ascii="HelveticaNeueLT Std Lt" w:hAnsi="HelveticaNeueLT Std Lt"/>
                <w:sz w:val="20"/>
                <w:lang w:val="es-MX" w:eastAsia="es-MX"/>
              </w:rPr>
              <w:t>Expedición de comprobantes en operaciones con el público en general</w:t>
            </w:r>
            <w:r w:rsidR="00652F43">
              <w:rPr>
                <w:rFonts w:ascii="HelveticaNeueLT Std Lt" w:hAnsi="HelveticaNeueLT Std Lt"/>
                <w:sz w:val="20"/>
                <w:lang w:val="es-MX" w:eastAsia="es-MX"/>
              </w:rPr>
              <w:t>.</w:t>
            </w:r>
          </w:p>
          <w:p w14:paraId="0AE9E1BF" w14:textId="77777777" w:rsidR="00652F43" w:rsidRPr="005E1746" w:rsidRDefault="00652F43" w:rsidP="00652F43">
            <w:pPr>
              <w:pStyle w:val="Texto"/>
              <w:numPr>
                <w:ilvl w:val="0"/>
                <w:numId w:val="42"/>
              </w:numPr>
              <w:spacing w:after="96" w:line="233" w:lineRule="exact"/>
              <w:rPr>
                <w:rFonts w:ascii="HelveticaNeueLT Std Lt" w:hAnsi="HelveticaNeueLT Std Lt"/>
                <w:sz w:val="20"/>
                <w:lang w:val="es-MX" w:eastAsia="es-MX"/>
              </w:rPr>
            </w:pPr>
            <w:r w:rsidRPr="005E1746">
              <w:rPr>
                <w:rFonts w:ascii="HelveticaNeueLT Std Lt" w:hAnsi="HelveticaNeueLT Std Lt"/>
                <w:sz w:val="20"/>
                <w:lang w:val="es-MX" w:eastAsia="es-MX"/>
              </w:rPr>
              <w:t xml:space="preserve">Plazos para la cancelación de </w:t>
            </w:r>
            <w:proofErr w:type="spellStart"/>
            <w:r w:rsidRPr="005E1746">
              <w:rPr>
                <w:rFonts w:ascii="HelveticaNeueLT Std Lt" w:hAnsi="HelveticaNeueLT Std Lt"/>
                <w:sz w:val="20"/>
                <w:lang w:val="es-MX" w:eastAsia="es-MX"/>
              </w:rPr>
              <w:t>CFDI</w:t>
            </w:r>
            <w:proofErr w:type="spellEnd"/>
          </w:p>
          <w:p w14:paraId="608BA1DD" w14:textId="22BFB952" w:rsidR="00652F43" w:rsidRPr="00DD7C82" w:rsidRDefault="00652F43" w:rsidP="00652F43">
            <w:pPr>
              <w:pStyle w:val="Texto"/>
              <w:spacing w:line="233" w:lineRule="exact"/>
              <w:ind w:left="862" w:firstLine="0"/>
              <w:rPr>
                <w:rFonts w:ascii="HelveticaNeueLT Std Lt" w:hAnsi="HelveticaNeueLT Std Lt"/>
                <w:b/>
                <w:sz w:val="20"/>
                <w:lang w:val="es-MX" w:eastAsia="es-MX"/>
              </w:rPr>
            </w:pPr>
          </w:p>
        </w:tc>
      </w:tr>
      <w:tr w:rsidR="00DD7C82" w:rsidRPr="000D4D13" w14:paraId="1EF09ADB" w14:textId="77777777" w:rsidTr="00652F43">
        <w:trPr>
          <w:trHeight w:val="277"/>
        </w:trPr>
        <w:tc>
          <w:tcPr>
            <w:tcW w:w="617" w:type="dxa"/>
            <w:tcBorders>
              <w:top w:val="single" w:sz="4" w:space="0" w:color="auto"/>
              <w:bottom w:val="single" w:sz="4" w:space="0" w:color="auto"/>
            </w:tcBorders>
          </w:tcPr>
          <w:p w14:paraId="285A620A" w14:textId="77777777" w:rsidR="00DD7C82" w:rsidRPr="000D4D13" w:rsidRDefault="00DD7C82"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2E6FF38C" w14:textId="77777777" w:rsidR="00DD7C82" w:rsidRPr="00B80921" w:rsidRDefault="00DD7C8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single" w:sz="4" w:space="0" w:color="auto"/>
            </w:tcBorders>
          </w:tcPr>
          <w:p w14:paraId="17DF1A81" w14:textId="77777777" w:rsidR="00DD7C82" w:rsidRPr="00B80921" w:rsidRDefault="00DD7C8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650875C4" w14:textId="77777777" w:rsidR="00DD7C82" w:rsidRPr="00DD7C82" w:rsidRDefault="00DD7C82" w:rsidP="00DD7C82">
            <w:pPr>
              <w:jc w:val="both"/>
              <w:rPr>
                <w:rFonts w:ascii="HelveticaNeueLT Std" w:hAnsi="HelveticaNeueLT Std" w:cs="Arial"/>
                <w:b/>
                <w:bCs/>
                <w:sz w:val="20"/>
                <w:szCs w:val="20"/>
              </w:rPr>
            </w:pPr>
          </w:p>
        </w:tc>
        <w:tc>
          <w:tcPr>
            <w:tcW w:w="5812" w:type="dxa"/>
            <w:tcBorders>
              <w:bottom w:val="single" w:sz="4" w:space="0" w:color="auto"/>
            </w:tcBorders>
          </w:tcPr>
          <w:p w14:paraId="21B72861" w14:textId="77777777" w:rsidR="00DD7C82" w:rsidRPr="005E1746" w:rsidRDefault="00DD7C82" w:rsidP="00DD7C82">
            <w:pPr>
              <w:pStyle w:val="Texto"/>
              <w:numPr>
                <w:ilvl w:val="0"/>
                <w:numId w:val="42"/>
              </w:numPr>
              <w:spacing w:after="96" w:line="233"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en la compra de productos del sector primario</w:t>
            </w:r>
          </w:p>
          <w:p w14:paraId="0A94D3EE" w14:textId="77777777" w:rsidR="00DD7C82" w:rsidRPr="005E1746" w:rsidRDefault="00DD7C82" w:rsidP="00DD7C82">
            <w:pPr>
              <w:pStyle w:val="Texto"/>
              <w:numPr>
                <w:ilvl w:val="0"/>
                <w:numId w:val="42"/>
              </w:numPr>
              <w:spacing w:after="96" w:line="242"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y retenciones en el otorgamiento del uso o goce temporal de inmuebles</w:t>
            </w:r>
          </w:p>
          <w:p w14:paraId="0A92F7E7" w14:textId="77777777" w:rsidR="00DD7C82" w:rsidRPr="005E1746" w:rsidRDefault="00DD7C82" w:rsidP="00DD7C82">
            <w:pPr>
              <w:pStyle w:val="Texto"/>
              <w:numPr>
                <w:ilvl w:val="0"/>
                <w:numId w:val="42"/>
              </w:numPr>
              <w:spacing w:line="242"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en la compra de productos del sector minero</w:t>
            </w:r>
          </w:p>
          <w:p w14:paraId="433D135D" w14:textId="77777777" w:rsidR="00DD7C82" w:rsidRPr="005E1746" w:rsidRDefault="00DD7C82" w:rsidP="00DD7C82">
            <w:pPr>
              <w:pStyle w:val="Texto"/>
              <w:numPr>
                <w:ilvl w:val="0"/>
                <w:numId w:val="42"/>
              </w:numPr>
              <w:spacing w:line="242"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en la compra de vehículos usados</w:t>
            </w:r>
          </w:p>
          <w:p w14:paraId="191CA457" w14:textId="77777777" w:rsidR="00DD7C82" w:rsidRPr="005E1746" w:rsidRDefault="00DD7C82" w:rsidP="00DD7C82">
            <w:pPr>
              <w:pStyle w:val="Texto"/>
              <w:numPr>
                <w:ilvl w:val="0"/>
                <w:numId w:val="42"/>
              </w:numPr>
              <w:spacing w:line="242"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y retenciones en la recolección de desperdicios y materiales de la industria del reciclaje</w:t>
            </w:r>
          </w:p>
          <w:p w14:paraId="7AD95101" w14:textId="77777777" w:rsidR="00DD7C82" w:rsidRPr="005E1746" w:rsidRDefault="00DD7C82" w:rsidP="00DD7C82">
            <w:pPr>
              <w:pStyle w:val="Texto"/>
              <w:numPr>
                <w:ilvl w:val="0"/>
                <w:numId w:val="42"/>
              </w:numPr>
              <w:spacing w:line="246"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tratándose de adquisición de bienes, uso o goce temporal de bienes inmuebles, afectación de terrenos, bienes o derechos incluyendo derechos reales, ejidales o comunales</w:t>
            </w:r>
          </w:p>
          <w:p w14:paraId="7E05846D" w14:textId="77777777" w:rsidR="00DD7C82" w:rsidRPr="005E1746" w:rsidRDefault="00DD7C82" w:rsidP="00DD7C82">
            <w:pPr>
              <w:pStyle w:val="Texto"/>
              <w:numPr>
                <w:ilvl w:val="0"/>
                <w:numId w:val="42"/>
              </w:numPr>
              <w:spacing w:line="244"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por el pago de servidumbres de paso</w:t>
            </w:r>
          </w:p>
          <w:p w14:paraId="34B64D8C" w14:textId="77777777" w:rsidR="00DD7C82" w:rsidRPr="005E1746" w:rsidRDefault="00DD7C82" w:rsidP="00DD7C82">
            <w:pPr>
              <w:pStyle w:val="Texto"/>
              <w:numPr>
                <w:ilvl w:val="0"/>
                <w:numId w:val="42"/>
              </w:numPr>
              <w:spacing w:line="244"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en la compra de obras de artes plásticas y antigüedades</w:t>
            </w:r>
          </w:p>
          <w:p w14:paraId="50C9C8C1" w14:textId="77777777" w:rsidR="00DD7C82" w:rsidRPr="005E1746" w:rsidRDefault="00DD7C82" w:rsidP="00DD7C82">
            <w:pPr>
              <w:pStyle w:val="Texto"/>
              <w:numPr>
                <w:ilvl w:val="0"/>
                <w:numId w:val="42"/>
              </w:numPr>
              <w:spacing w:line="244" w:lineRule="exact"/>
              <w:rPr>
                <w:rFonts w:ascii="HelveticaNeueLT Std Lt" w:hAnsi="HelveticaNeueLT Std Lt"/>
                <w:sz w:val="20"/>
                <w:lang w:val="es-MX" w:eastAsia="es-MX"/>
              </w:rPr>
            </w:pPr>
            <w:r w:rsidRPr="005E1746">
              <w:rPr>
                <w:rFonts w:ascii="HelveticaNeueLT Std Lt" w:hAnsi="HelveticaNeueLT Std Lt"/>
                <w:sz w:val="20"/>
                <w:lang w:val="es-MX" w:eastAsia="es-MX"/>
              </w:rPr>
              <w:t>Comprobación de erogaciones, retenciones y entero en la enajenación de artesanías</w:t>
            </w:r>
          </w:p>
          <w:p w14:paraId="6827663C" w14:textId="77777777" w:rsidR="00DD7C82" w:rsidRPr="005E1746" w:rsidRDefault="00DD7C82" w:rsidP="00DD7C82">
            <w:pPr>
              <w:pStyle w:val="Texto"/>
              <w:numPr>
                <w:ilvl w:val="0"/>
                <w:numId w:val="42"/>
              </w:numPr>
              <w:spacing w:line="244" w:lineRule="exact"/>
              <w:rPr>
                <w:rFonts w:ascii="HelveticaNeueLT Std Lt" w:hAnsi="HelveticaNeueLT Std Lt"/>
                <w:sz w:val="20"/>
                <w:lang w:val="es-MX" w:eastAsia="es-MX"/>
              </w:rPr>
            </w:pPr>
            <w:r w:rsidRPr="005E1746">
              <w:rPr>
                <w:rFonts w:ascii="HelveticaNeueLT Std Lt" w:hAnsi="HelveticaNeueLT Std Lt"/>
                <w:sz w:val="20"/>
                <w:lang w:val="es-MX" w:eastAsia="es-MX"/>
              </w:rPr>
              <w:t xml:space="preserve">Solicitud para la emisión de </w:t>
            </w:r>
            <w:proofErr w:type="spellStart"/>
            <w:r w:rsidRPr="005E1746">
              <w:rPr>
                <w:rFonts w:ascii="HelveticaNeueLT Std Lt" w:hAnsi="HelveticaNeueLT Std Lt"/>
                <w:sz w:val="20"/>
                <w:lang w:val="es-MX" w:eastAsia="es-MX"/>
              </w:rPr>
              <w:t>CFDI</w:t>
            </w:r>
            <w:proofErr w:type="spellEnd"/>
            <w:r w:rsidRPr="005E1746">
              <w:rPr>
                <w:rFonts w:ascii="HelveticaNeueLT Std Lt" w:hAnsi="HelveticaNeueLT Std Lt"/>
                <w:sz w:val="20"/>
                <w:lang w:val="es-MX" w:eastAsia="es-MX"/>
              </w:rPr>
              <w:t xml:space="preserve"> a través del adquirente</w:t>
            </w:r>
          </w:p>
          <w:p w14:paraId="4A89E8A2" w14:textId="77777777" w:rsidR="00DD7C82" w:rsidRPr="005E1746" w:rsidRDefault="00DD7C82" w:rsidP="00DD7C82">
            <w:pPr>
              <w:pStyle w:val="Prrafodelista"/>
              <w:numPr>
                <w:ilvl w:val="0"/>
                <w:numId w:val="42"/>
              </w:numPr>
              <w:rPr>
                <w:rFonts w:ascii="HelveticaNeueLT Std Lt" w:eastAsia="Times New Roman" w:hAnsi="HelveticaNeueLT Std Lt" w:cs="Arial"/>
                <w:sz w:val="20"/>
                <w:szCs w:val="20"/>
                <w:lang w:eastAsia="es-MX"/>
              </w:rPr>
            </w:pPr>
            <w:r w:rsidRPr="005E1746">
              <w:rPr>
                <w:rFonts w:ascii="HelveticaNeueLT Std Lt" w:eastAsia="Times New Roman" w:hAnsi="HelveticaNeueLT Std Lt" w:cs="Arial"/>
                <w:sz w:val="20"/>
                <w:szCs w:val="20"/>
                <w:lang w:eastAsia="es-MX"/>
              </w:rPr>
              <w:t>Reducción de multas y aplicación de tasa de recargos por prórroga</w:t>
            </w:r>
          </w:p>
          <w:p w14:paraId="35A25514" w14:textId="77777777" w:rsidR="00DD7C82" w:rsidRPr="00652F43" w:rsidRDefault="00DD7C82" w:rsidP="00DD7C82">
            <w:pPr>
              <w:pStyle w:val="Texto"/>
              <w:numPr>
                <w:ilvl w:val="0"/>
                <w:numId w:val="42"/>
              </w:numPr>
              <w:spacing w:line="270" w:lineRule="exact"/>
              <w:rPr>
                <w:rFonts w:ascii="HelveticaNeueLT Std Lt" w:hAnsi="HelveticaNeueLT Std Lt"/>
                <w:b/>
                <w:sz w:val="20"/>
                <w:lang w:val="es-MX" w:eastAsia="es-MX"/>
              </w:rPr>
            </w:pPr>
            <w:r w:rsidRPr="005E1746">
              <w:rPr>
                <w:rFonts w:ascii="HelveticaNeueLT Std Lt" w:hAnsi="HelveticaNeueLT Std Lt"/>
                <w:sz w:val="20"/>
                <w:lang w:val="es-MX" w:eastAsia="es-MX"/>
              </w:rPr>
              <w:t>Pago del impuesto por ingresos obtenidos por actividades agrícolas, ganaderas, silvícolas o pesqueras</w:t>
            </w:r>
            <w:r w:rsidR="00652F43">
              <w:rPr>
                <w:rFonts w:ascii="HelveticaNeueLT Std Lt" w:hAnsi="HelveticaNeueLT Std Lt"/>
                <w:sz w:val="20"/>
                <w:lang w:val="es-MX" w:eastAsia="es-MX"/>
              </w:rPr>
              <w:t xml:space="preserve">. </w:t>
            </w:r>
          </w:p>
          <w:p w14:paraId="3B8BB75F" w14:textId="77777777" w:rsidR="00652F43" w:rsidRPr="005E1746" w:rsidRDefault="00652F43" w:rsidP="00652F43">
            <w:pPr>
              <w:pStyle w:val="Texto"/>
              <w:numPr>
                <w:ilvl w:val="0"/>
                <w:numId w:val="42"/>
              </w:numPr>
              <w:spacing w:line="249" w:lineRule="exact"/>
              <w:rPr>
                <w:rFonts w:ascii="HelveticaNeueLT Std Lt" w:hAnsi="HelveticaNeueLT Std Lt"/>
                <w:sz w:val="20"/>
                <w:lang w:val="es-MX" w:eastAsia="es-MX"/>
              </w:rPr>
            </w:pPr>
            <w:r w:rsidRPr="005E1746">
              <w:rPr>
                <w:rFonts w:ascii="HelveticaNeueLT Std Lt" w:hAnsi="HelveticaNeueLT Std Lt"/>
                <w:sz w:val="20"/>
                <w:lang w:val="es-MX" w:eastAsia="es-MX"/>
              </w:rPr>
              <w:t>Excepción de pago por ingresos obtenidos por actividades agrícolas, ganaderas, silvícolas o pesqueras</w:t>
            </w:r>
          </w:p>
          <w:p w14:paraId="109AD52B" w14:textId="1C1934FF" w:rsidR="00652F43" w:rsidRPr="00652F43" w:rsidRDefault="00652F43" w:rsidP="00652F43">
            <w:pPr>
              <w:pStyle w:val="Texto"/>
              <w:numPr>
                <w:ilvl w:val="0"/>
                <w:numId w:val="42"/>
              </w:numPr>
              <w:spacing w:line="249" w:lineRule="exact"/>
              <w:rPr>
                <w:rFonts w:ascii="HelveticaNeueLT Std Lt" w:hAnsi="HelveticaNeueLT Std Lt"/>
                <w:sz w:val="20"/>
                <w:lang w:val="es-MX" w:eastAsia="es-MX"/>
              </w:rPr>
            </w:pPr>
            <w:r w:rsidRPr="005E1746">
              <w:rPr>
                <w:rFonts w:ascii="HelveticaNeueLT Std Lt" w:hAnsi="HelveticaNeueLT Std Lt"/>
                <w:sz w:val="20"/>
                <w:lang w:val="es-MX" w:eastAsia="es-MX"/>
              </w:rPr>
              <w:t>Factor de acumulación por depósitos o inversiones en el extranjero</w:t>
            </w:r>
          </w:p>
        </w:tc>
      </w:tr>
      <w:tr w:rsidR="00DD7C82" w:rsidRPr="000D4D13" w14:paraId="777507EC" w14:textId="77777777" w:rsidTr="00652F43">
        <w:trPr>
          <w:trHeight w:val="277"/>
        </w:trPr>
        <w:tc>
          <w:tcPr>
            <w:tcW w:w="617" w:type="dxa"/>
            <w:tcBorders>
              <w:top w:val="single" w:sz="4" w:space="0" w:color="auto"/>
              <w:bottom w:val="nil"/>
            </w:tcBorders>
          </w:tcPr>
          <w:p w14:paraId="275C68A8" w14:textId="77777777" w:rsidR="00DD7C82" w:rsidRPr="000D4D13" w:rsidRDefault="00DD7C82"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1F27C9A1" w14:textId="77777777" w:rsidR="00DD7C82" w:rsidRPr="00B80921" w:rsidRDefault="00DD7C8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546EDBBC" w14:textId="77777777" w:rsidR="00DD7C82" w:rsidRPr="00B80921" w:rsidRDefault="00DD7C8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3BF0A89E" w14:textId="77777777" w:rsidR="00DD7C82" w:rsidRPr="00DD7C82" w:rsidRDefault="00DD7C82" w:rsidP="00DD7C82">
            <w:pPr>
              <w:jc w:val="both"/>
              <w:rPr>
                <w:rFonts w:ascii="HelveticaNeueLT Std" w:hAnsi="HelveticaNeueLT Std" w:cs="Arial"/>
                <w:b/>
                <w:bCs/>
                <w:sz w:val="20"/>
                <w:szCs w:val="20"/>
              </w:rPr>
            </w:pPr>
          </w:p>
        </w:tc>
        <w:tc>
          <w:tcPr>
            <w:tcW w:w="5812" w:type="dxa"/>
            <w:tcBorders>
              <w:bottom w:val="nil"/>
            </w:tcBorders>
          </w:tcPr>
          <w:p w14:paraId="239F74FF" w14:textId="77777777" w:rsidR="00DD7C82" w:rsidRPr="005E1746" w:rsidRDefault="00DD7C82" w:rsidP="00DD7C82">
            <w:pPr>
              <w:pStyle w:val="Texto"/>
              <w:numPr>
                <w:ilvl w:val="0"/>
                <w:numId w:val="42"/>
              </w:numPr>
              <w:spacing w:line="249" w:lineRule="exact"/>
              <w:rPr>
                <w:rFonts w:ascii="HelveticaNeueLT Std Lt" w:hAnsi="HelveticaNeueLT Std Lt"/>
                <w:sz w:val="20"/>
                <w:lang w:val="es-MX" w:eastAsia="es-MX"/>
              </w:rPr>
            </w:pPr>
            <w:r w:rsidRPr="005E1746">
              <w:rPr>
                <w:rFonts w:ascii="HelveticaNeueLT Std Lt" w:hAnsi="HelveticaNeueLT Std Lt"/>
                <w:sz w:val="20"/>
                <w:lang w:val="es-MX" w:eastAsia="es-MX"/>
              </w:rPr>
              <w:t>Título 13. Disposiciones de vigencia temporal</w:t>
            </w:r>
          </w:p>
          <w:p w14:paraId="375821D2" w14:textId="77777777" w:rsidR="00DD7C82" w:rsidRPr="005E1746" w:rsidRDefault="00DD7C82" w:rsidP="00DD7C82">
            <w:pPr>
              <w:pStyle w:val="Texto"/>
              <w:spacing w:line="249" w:lineRule="exact"/>
              <w:ind w:left="862" w:firstLine="0"/>
              <w:rPr>
                <w:rFonts w:ascii="HelveticaNeueLT Std Lt" w:hAnsi="HelveticaNeueLT Std Lt"/>
                <w:sz w:val="20"/>
                <w:lang w:val="es-MX" w:eastAsia="es-MX"/>
              </w:rPr>
            </w:pPr>
            <w:r w:rsidRPr="005E1746">
              <w:rPr>
                <w:rFonts w:ascii="HelveticaNeueLT Std Lt" w:hAnsi="HelveticaNeueLT Std Lt"/>
                <w:sz w:val="20"/>
                <w:lang w:val="es-MX" w:eastAsia="es-MX"/>
              </w:rPr>
              <w:t>Declaración de pago de los derechos por la utilidad compartida y de extracción de hidrocarburos</w:t>
            </w:r>
          </w:p>
          <w:p w14:paraId="78C72B19" w14:textId="77777777" w:rsidR="00DD7C82" w:rsidRPr="005E1746" w:rsidRDefault="00DD7C82" w:rsidP="005E1746">
            <w:pPr>
              <w:pStyle w:val="Texto"/>
              <w:spacing w:after="96" w:line="233" w:lineRule="exact"/>
              <w:ind w:firstLine="0"/>
              <w:rPr>
                <w:rFonts w:ascii="HelveticaNeueLT Std Lt" w:hAnsi="HelveticaNeueLT Std Lt"/>
                <w:sz w:val="20"/>
                <w:lang w:val="es-MX" w:eastAsia="es-MX"/>
              </w:rPr>
            </w:pPr>
          </w:p>
          <w:p w14:paraId="43522568" w14:textId="77777777" w:rsidR="005E1746" w:rsidRDefault="005E1746" w:rsidP="005E1746">
            <w:pPr>
              <w:pStyle w:val="Texto"/>
              <w:spacing w:after="96" w:line="233" w:lineRule="exact"/>
              <w:ind w:firstLine="0"/>
              <w:rPr>
                <w:rFonts w:ascii="HelveticaNeueLT Std Lt" w:hAnsi="HelveticaNeueLT Std Lt"/>
                <w:sz w:val="20"/>
                <w:lang w:val="es-MX" w:eastAsia="es-MX"/>
              </w:rPr>
            </w:pPr>
            <w:r w:rsidRPr="005E1746">
              <w:rPr>
                <w:rFonts w:ascii="HelveticaNeueLT Std Lt" w:hAnsi="HelveticaNeueLT Std Lt"/>
                <w:sz w:val="20"/>
                <w:lang w:val="es-MX" w:eastAsia="es-MX"/>
              </w:rPr>
              <w:t>De conformidad con lo dispuesto en el artículo 5 de la Ley Federal de los Derechos del Contribuyente, se da a conocer el texto actualizado de las reglas a que se refiere el Resolutivo Primero de la presente Resolución.</w:t>
            </w:r>
          </w:p>
          <w:p w14:paraId="7BB523AC" w14:textId="77777777" w:rsidR="005E1746" w:rsidRPr="005E1746" w:rsidRDefault="005E1746" w:rsidP="005E1746">
            <w:pPr>
              <w:pStyle w:val="Texto"/>
              <w:spacing w:after="96" w:line="233" w:lineRule="exact"/>
              <w:ind w:firstLine="0"/>
              <w:rPr>
                <w:rFonts w:ascii="HelveticaNeueLT Std Lt" w:hAnsi="HelveticaNeueLT Std Lt"/>
                <w:sz w:val="20"/>
                <w:lang w:val="es-MX" w:eastAsia="es-MX"/>
              </w:rPr>
            </w:pPr>
            <w:r w:rsidRPr="005E1746">
              <w:rPr>
                <w:rFonts w:ascii="HelveticaNeueLT Std Lt" w:hAnsi="HelveticaNeueLT Std Lt"/>
                <w:sz w:val="20"/>
                <w:lang w:val="es-MX" w:eastAsia="es-MX"/>
              </w:rPr>
              <w:t>Se modifica el Anexo 1-A de la Resolución Miscelánea Fiscal para 2022.</w:t>
            </w:r>
          </w:p>
          <w:p w14:paraId="0F7A4895" w14:textId="77777777" w:rsidR="005E1746" w:rsidRDefault="005E1746" w:rsidP="005E1746">
            <w:pPr>
              <w:pStyle w:val="Texto"/>
              <w:spacing w:after="96" w:line="233" w:lineRule="exact"/>
              <w:ind w:firstLine="0"/>
              <w:rPr>
                <w:rFonts w:ascii="HelveticaNeueLT Std Lt" w:hAnsi="HelveticaNeueLT Std Lt"/>
                <w:sz w:val="20"/>
                <w:lang w:val="es-MX" w:eastAsia="es-MX"/>
              </w:rPr>
            </w:pPr>
            <w:r w:rsidRPr="005E1746">
              <w:rPr>
                <w:rFonts w:ascii="HelveticaNeueLT Std Lt" w:hAnsi="HelveticaNeueLT Std Lt"/>
                <w:sz w:val="20"/>
                <w:lang w:val="es-MX" w:eastAsia="es-MX"/>
              </w:rPr>
              <w:t xml:space="preserve">Se reforman los Transitorios Décimo, Décimo Primero y Décimo Noveno de la Resolución Miscelánea Fiscal para 2022, publicada en el </w:t>
            </w:r>
            <w:proofErr w:type="spellStart"/>
            <w:r w:rsidRPr="005E1746">
              <w:rPr>
                <w:rFonts w:ascii="HelveticaNeueLT Std Lt" w:hAnsi="HelveticaNeueLT Std Lt"/>
                <w:sz w:val="20"/>
                <w:lang w:val="es-MX" w:eastAsia="es-MX"/>
              </w:rPr>
              <w:t>DOF</w:t>
            </w:r>
            <w:proofErr w:type="spellEnd"/>
            <w:r w:rsidRPr="005E1746">
              <w:rPr>
                <w:rFonts w:ascii="HelveticaNeueLT Std Lt" w:hAnsi="HelveticaNeueLT Std Lt"/>
                <w:sz w:val="20"/>
                <w:lang w:val="es-MX" w:eastAsia="es-MX"/>
              </w:rPr>
              <w:t xml:space="preserve"> el 27 de diciembre de 2021</w:t>
            </w:r>
            <w:r>
              <w:rPr>
                <w:rFonts w:ascii="HelveticaNeueLT Std Lt" w:hAnsi="HelveticaNeueLT Std Lt"/>
                <w:sz w:val="20"/>
                <w:lang w:val="es-MX" w:eastAsia="es-MX"/>
              </w:rPr>
              <w:t>.</w:t>
            </w:r>
          </w:p>
          <w:p w14:paraId="617FD6A3" w14:textId="77777777" w:rsidR="005E1746" w:rsidRDefault="005E1746" w:rsidP="005E1746">
            <w:pPr>
              <w:pStyle w:val="Texto"/>
              <w:spacing w:after="96" w:line="233" w:lineRule="exact"/>
              <w:ind w:firstLine="0"/>
              <w:rPr>
                <w:rFonts w:ascii="HelveticaNeueLT Std Lt" w:hAnsi="HelveticaNeueLT Std Lt"/>
                <w:sz w:val="20"/>
                <w:lang w:val="es-MX" w:eastAsia="es-MX"/>
              </w:rPr>
            </w:pPr>
            <w:r w:rsidRPr="005E1746">
              <w:rPr>
                <w:rFonts w:ascii="HelveticaNeueLT Std Lt" w:hAnsi="HelveticaNeueLT Std Lt"/>
                <w:sz w:val="20"/>
                <w:lang w:val="es-MX" w:eastAsia="es-MX"/>
              </w:rPr>
              <w:t xml:space="preserve">La presente Resolución entrará en vigor el día siguiente al de su publicación en el </w:t>
            </w:r>
            <w:proofErr w:type="spellStart"/>
            <w:r w:rsidRPr="005E1746">
              <w:rPr>
                <w:rFonts w:ascii="HelveticaNeueLT Std Lt" w:hAnsi="HelveticaNeueLT Std Lt"/>
                <w:sz w:val="20"/>
                <w:lang w:val="es-MX" w:eastAsia="es-MX"/>
              </w:rPr>
              <w:t>DOF</w:t>
            </w:r>
            <w:proofErr w:type="spellEnd"/>
            <w:r w:rsidRPr="005E1746">
              <w:rPr>
                <w:rFonts w:ascii="HelveticaNeueLT Std Lt" w:hAnsi="HelveticaNeueLT Std Lt"/>
                <w:sz w:val="20"/>
                <w:lang w:val="es-MX" w:eastAsia="es-MX"/>
              </w:rPr>
              <w:t xml:space="preserve"> y su contenido surtirá sus efectos en términos de la regla 1.8., tercer párrafo de la </w:t>
            </w:r>
            <w:proofErr w:type="spellStart"/>
            <w:r w:rsidRPr="005E1746">
              <w:rPr>
                <w:rFonts w:ascii="HelveticaNeueLT Std Lt" w:hAnsi="HelveticaNeueLT Std Lt"/>
                <w:sz w:val="20"/>
                <w:lang w:val="es-MX" w:eastAsia="es-MX"/>
              </w:rPr>
              <w:t>RMF</w:t>
            </w:r>
            <w:proofErr w:type="spellEnd"/>
            <w:r w:rsidRPr="005E1746">
              <w:rPr>
                <w:rFonts w:ascii="HelveticaNeueLT Std Lt" w:hAnsi="HelveticaNeueLT Std Lt"/>
                <w:sz w:val="20"/>
                <w:lang w:val="es-MX" w:eastAsia="es-MX"/>
              </w:rPr>
              <w:t xml:space="preserve"> para 2022</w:t>
            </w:r>
            <w:r w:rsidR="00D61C6C">
              <w:rPr>
                <w:rFonts w:ascii="HelveticaNeueLT Std Lt" w:hAnsi="HelveticaNeueLT Std Lt"/>
                <w:sz w:val="20"/>
                <w:lang w:val="es-MX" w:eastAsia="es-MX"/>
              </w:rPr>
              <w:t>.</w:t>
            </w:r>
          </w:p>
          <w:p w14:paraId="1A818FC4" w14:textId="21C1D4A7" w:rsidR="00D61C6C" w:rsidRPr="005E1746" w:rsidRDefault="00D61C6C" w:rsidP="00652F43">
            <w:pPr>
              <w:pStyle w:val="Texto"/>
              <w:spacing w:after="96" w:line="233" w:lineRule="exact"/>
              <w:ind w:firstLine="0"/>
              <w:rPr>
                <w:rFonts w:ascii="HelveticaNeueLT Std Lt" w:hAnsi="HelveticaNeueLT Std Lt"/>
                <w:sz w:val="20"/>
                <w:lang w:val="es-MX" w:eastAsia="es-MX"/>
              </w:rPr>
            </w:pPr>
          </w:p>
        </w:tc>
      </w:tr>
      <w:tr w:rsidR="00D61C6C" w:rsidRPr="000D4D13" w14:paraId="232F48F6" w14:textId="77777777" w:rsidTr="00652F43">
        <w:trPr>
          <w:trHeight w:val="277"/>
        </w:trPr>
        <w:tc>
          <w:tcPr>
            <w:tcW w:w="617" w:type="dxa"/>
            <w:tcBorders>
              <w:top w:val="nil"/>
              <w:bottom w:val="single" w:sz="4" w:space="0" w:color="auto"/>
            </w:tcBorders>
          </w:tcPr>
          <w:p w14:paraId="246490A4" w14:textId="77777777" w:rsidR="00D61C6C" w:rsidRPr="000D4D13" w:rsidRDefault="00D61C6C" w:rsidP="00D61C6C">
            <w:pPr>
              <w:spacing w:line="276" w:lineRule="auto"/>
              <w:jc w:val="center"/>
              <w:rPr>
                <w:rFonts w:ascii="HelveticaNeueLT Std" w:hAnsi="HelveticaNeueLT Std" w:cs="Arial"/>
                <w:b/>
                <w:bCs/>
                <w:sz w:val="20"/>
                <w:szCs w:val="20"/>
              </w:rPr>
            </w:pPr>
          </w:p>
          <w:p w14:paraId="6F453337" w14:textId="0EA5AB42" w:rsidR="00D61C6C" w:rsidRPr="000D4D13" w:rsidRDefault="006665EB" w:rsidP="00D61C6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22</w:t>
            </w:r>
          </w:p>
        </w:tc>
        <w:tc>
          <w:tcPr>
            <w:tcW w:w="2127" w:type="dxa"/>
            <w:tcBorders>
              <w:top w:val="nil"/>
              <w:bottom w:val="single" w:sz="4" w:space="0" w:color="auto"/>
            </w:tcBorders>
          </w:tcPr>
          <w:p w14:paraId="46878AC9"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8E41B02" w14:textId="7A95B8C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25</w:t>
            </w:r>
            <w:r>
              <w:rPr>
                <w:rFonts w:ascii="HelveticaNeueLT Std" w:eastAsia="MS Mincho" w:hAnsi="HelveticaNeueLT Std"/>
                <w:bCs/>
                <w:sz w:val="20"/>
                <w:szCs w:val="20"/>
                <w:lang w:eastAsia="en-US"/>
              </w:rPr>
              <w:t>- febrero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41ECFB56"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B72E364"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4CCAA9E9" w14:textId="418A424E"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bottom w:val="single" w:sz="4" w:space="0" w:color="auto"/>
            </w:tcBorders>
          </w:tcPr>
          <w:p w14:paraId="701E6F0B"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A96E87D"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6A61E809" w14:textId="77777777"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5E51CE6" w14:textId="490F9F4C" w:rsidR="00D61C6C" w:rsidRPr="00B80921" w:rsidRDefault="00D61C6C"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51BEFD06" w14:textId="77777777" w:rsidR="00D61C6C" w:rsidRDefault="00D61C6C" w:rsidP="00D61C6C">
            <w:pPr>
              <w:jc w:val="both"/>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D61C6C" w:rsidRPr="00D61C6C" w14:paraId="6E6AAD86" w14:textId="77777777" w:rsidTr="00D61C6C">
              <w:trPr>
                <w:tblCellSpacing w:w="0" w:type="dxa"/>
              </w:trPr>
              <w:tc>
                <w:tcPr>
                  <w:tcW w:w="8832" w:type="dxa"/>
                  <w:shd w:val="clear" w:color="auto" w:fill="FFFFFF"/>
                  <w:vAlign w:val="center"/>
                  <w:hideMark/>
                </w:tcPr>
                <w:p w14:paraId="31F7A16C" w14:textId="77777777" w:rsidR="00D61C6C" w:rsidRPr="00D61C6C" w:rsidRDefault="00D61C6C" w:rsidP="00D61C6C">
                  <w:pPr>
                    <w:jc w:val="both"/>
                    <w:rPr>
                      <w:rFonts w:ascii="HelveticaNeueLT Std" w:hAnsi="HelveticaNeueLT Std" w:cs="Arial"/>
                      <w:b/>
                      <w:bCs/>
                      <w:sz w:val="20"/>
                      <w:szCs w:val="20"/>
                    </w:rPr>
                  </w:pPr>
                  <w:hyperlink r:id="rId10" w:history="1">
                    <w:r w:rsidRPr="00D61C6C">
                      <w:rPr>
                        <w:rFonts w:ascii="HelveticaNeueLT Std" w:hAnsi="HelveticaNeueLT Std"/>
                        <w:b/>
                        <w:bCs/>
                        <w:sz w:val="20"/>
                        <w:szCs w:val="20"/>
                      </w:rPr>
                      <w:t xml:space="preserve">Acuerdo por el cual se da a conocer el informe sobre la Recaudación Federal Participable y las Participaciones Federales, así como los procedimientos de cálculo, por el mes de </w:t>
                    </w:r>
                    <w:bookmarkStart w:id="0" w:name="_GoBack"/>
                    <w:r w:rsidRPr="00D61C6C">
                      <w:rPr>
                        <w:rFonts w:ascii="HelveticaNeueLT Std" w:hAnsi="HelveticaNeueLT Std"/>
                        <w:b/>
                        <w:bCs/>
                        <w:sz w:val="20"/>
                        <w:szCs w:val="20"/>
                      </w:rPr>
                      <w:t>enero</w:t>
                    </w:r>
                    <w:bookmarkEnd w:id="0"/>
                    <w:r w:rsidRPr="00D61C6C">
                      <w:rPr>
                        <w:rFonts w:ascii="HelveticaNeueLT Std" w:hAnsi="HelveticaNeueLT Std"/>
                        <w:b/>
                        <w:bCs/>
                        <w:sz w:val="20"/>
                        <w:szCs w:val="20"/>
                      </w:rPr>
                      <w:t xml:space="preserve"> de 2022 y las participaciones del Fondo de Fiscalización y Recaudación del cuarto trimestre de 2021.</w:t>
                    </w:r>
                  </w:hyperlink>
                </w:p>
              </w:tc>
              <w:tc>
                <w:tcPr>
                  <w:tcW w:w="6" w:type="dxa"/>
                  <w:shd w:val="clear" w:color="auto" w:fill="FFFFFF"/>
                  <w:vAlign w:val="center"/>
                  <w:hideMark/>
                </w:tcPr>
                <w:p w14:paraId="03F879F0" w14:textId="77777777" w:rsidR="00D61C6C" w:rsidRPr="00D61C6C" w:rsidRDefault="00D61C6C" w:rsidP="00D61C6C">
                  <w:pPr>
                    <w:rPr>
                      <w:rFonts w:ascii="HelveticaNeueLT Std" w:hAnsi="HelveticaNeueLT Std" w:cs="Arial"/>
                      <w:b/>
                      <w:bCs/>
                      <w:sz w:val="20"/>
                      <w:szCs w:val="20"/>
                    </w:rPr>
                  </w:pPr>
                </w:p>
              </w:tc>
            </w:tr>
            <w:tr w:rsidR="00D61C6C" w:rsidRPr="00D61C6C" w14:paraId="3E45FF4E" w14:textId="77777777" w:rsidTr="00D61C6C">
              <w:trPr>
                <w:trHeight w:val="180"/>
                <w:tblCellSpacing w:w="0" w:type="dxa"/>
              </w:trPr>
              <w:tc>
                <w:tcPr>
                  <w:tcW w:w="8832" w:type="dxa"/>
                  <w:shd w:val="clear" w:color="auto" w:fill="FFFFFF"/>
                  <w:hideMark/>
                </w:tcPr>
                <w:p w14:paraId="0D8FD682" w14:textId="04216F3F" w:rsidR="00D61C6C" w:rsidRPr="00D61C6C" w:rsidRDefault="00D61C6C" w:rsidP="00D61C6C">
                  <w:pPr>
                    <w:rPr>
                      <w:rFonts w:ascii="HelveticaNeueLT Std" w:hAnsi="HelveticaNeueLT Std" w:cs="Arial"/>
                      <w:b/>
                      <w:bCs/>
                      <w:sz w:val="20"/>
                      <w:szCs w:val="20"/>
                    </w:rPr>
                  </w:pPr>
                  <w:r w:rsidRPr="00D61C6C">
                    <w:rPr>
                      <w:rFonts w:ascii="HelveticaNeueLT Std" w:hAnsi="HelveticaNeueLT Std" w:cs="Arial"/>
                      <w:b/>
                      <w:bCs/>
                      <w:sz w:val="20"/>
                      <w:szCs w:val="20"/>
                    </w:rPr>
                    <w:drawing>
                      <wp:inline distT="0" distB="0" distL="0" distR="0" wp14:anchorId="6B18D030" wp14:editId="65AEF608">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6224F132" w14:textId="77777777" w:rsidR="00D61C6C" w:rsidRPr="00D61C6C" w:rsidRDefault="00D61C6C" w:rsidP="00D61C6C">
                  <w:pPr>
                    <w:rPr>
                      <w:rFonts w:ascii="HelveticaNeueLT Std" w:hAnsi="HelveticaNeueLT Std" w:cs="Arial"/>
                      <w:b/>
                      <w:bCs/>
                      <w:sz w:val="20"/>
                      <w:szCs w:val="20"/>
                    </w:rPr>
                  </w:pPr>
                </w:p>
              </w:tc>
            </w:tr>
          </w:tbl>
          <w:p w14:paraId="11926173" w14:textId="704CEA22" w:rsidR="00D61C6C" w:rsidRPr="00DD7C82" w:rsidRDefault="00D61C6C" w:rsidP="00D61C6C">
            <w:pPr>
              <w:jc w:val="both"/>
              <w:rPr>
                <w:rFonts w:ascii="HelveticaNeueLT Std" w:hAnsi="HelveticaNeueLT Std" w:cs="Arial"/>
                <w:b/>
                <w:bCs/>
                <w:sz w:val="20"/>
                <w:szCs w:val="20"/>
              </w:rPr>
            </w:pPr>
          </w:p>
        </w:tc>
        <w:tc>
          <w:tcPr>
            <w:tcW w:w="5812" w:type="dxa"/>
            <w:tcBorders>
              <w:top w:val="nil"/>
              <w:bottom w:val="single" w:sz="4" w:space="0" w:color="auto"/>
            </w:tcBorders>
          </w:tcPr>
          <w:p w14:paraId="080A4327" w14:textId="77777777" w:rsidR="00652F43" w:rsidRDefault="00652F43" w:rsidP="00D61C6C">
            <w:pPr>
              <w:pStyle w:val="Texto"/>
              <w:spacing w:line="249" w:lineRule="exact"/>
              <w:ind w:firstLine="0"/>
              <w:rPr>
                <w:rFonts w:ascii="HelveticaNeueLT Std Lt" w:hAnsi="HelveticaNeueLT Std Lt"/>
                <w:sz w:val="20"/>
                <w:lang w:val="es-MX" w:eastAsia="es-MX"/>
              </w:rPr>
            </w:pPr>
          </w:p>
          <w:p w14:paraId="2F2C4C68" w14:textId="44D3AFC0" w:rsidR="00D61C6C" w:rsidRDefault="00D61C6C" w:rsidP="00D61C6C">
            <w:pPr>
              <w:pStyle w:val="Texto"/>
              <w:spacing w:line="249" w:lineRule="exact"/>
              <w:ind w:firstLine="0"/>
              <w:rPr>
                <w:rFonts w:ascii="HelveticaNeueLT Std Lt" w:hAnsi="HelveticaNeueLT Std Lt"/>
                <w:sz w:val="20"/>
                <w:lang w:val="es-MX" w:eastAsia="es-MX"/>
              </w:rPr>
            </w:pPr>
            <w:r>
              <w:rPr>
                <w:rFonts w:ascii="HelveticaNeueLT Std Lt" w:hAnsi="HelveticaNeueLT Std Lt"/>
                <w:sz w:val="20"/>
                <w:lang w:val="es-MX" w:eastAsia="es-MX"/>
              </w:rPr>
              <w:t xml:space="preserve">A través del presente acuerdo se da a conocer: </w:t>
            </w:r>
          </w:p>
          <w:p w14:paraId="47497428" w14:textId="77777777" w:rsidR="00652F43" w:rsidRDefault="00652F43" w:rsidP="00D61C6C">
            <w:pPr>
              <w:pStyle w:val="Texto"/>
              <w:spacing w:line="249" w:lineRule="exact"/>
              <w:ind w:firstLine="0"/>
              <w:rPr>
                <w:rFonts w:ascii="HelveticaNeueLT Std Lt" w:hAnsi="HelveticaNeueLT Std Lt"/>
                <w:sz w:val="20"/>
                <w:lang w:val="es-MX" w:eastAsia="es-MX"/>
              </w:rPr>
            </w:pPr>
          </w:p>
          <w:p w14:paraId="0CF74E97" w14:textId="07698674" w:rsidR="00D61C6C" w:rsidRDefault="00D61C6C" w:rsidP="00652F43">
            <w:pPr>
              <w:pStyle w:val="Texto"/>
              <w:numPr>
                <w:ilvl w:val="0"/>
                <w:numId w:val="43"/>
              </w:numPr>
              <w:spacing w:line="249" w:lineRule="exact"/>
              <w:rPr>
                <w:rFonts w:ascii="HelveticaNeueLT Std Lt" w:hAnsi="HelveticaNeueLT Std Lt"/>
                <w:sz w:val="20"/>
                <w:lang w:val="es-MX" w:eastAsia="es-MX"/>
              </w:rPr>
            </w:pPr>
            <w:r>
              <w:rPr>
                <w:rFonts w:ascii="HelveticaNeueLT Std Lt" w:hAnsi="HelveticaNeueLT Std Lt"/>
                <w:sz w:val="20"/>
                <w:lang w:val="es-MX" w:eastAsia="es-MX"/>
              </w:rPr>
              <w:t>L</w:t>
            </w:r>
            <w:r w:rsidRPr="00D61C6C">
              <w:rPr>
                <w:rFonts w:ascii="HelveticaNeueLT Std Lt" w:hAnsi="HelveticaNeueLT Std Lt"/>
                <w:sz w:val="20"/>
                <w:lang w:val="es-MX" w:eastAsia="es-MX"/>
              </w:rPr>
              <w:t>a recaudación federal participable de diciembre de 2021, las participaciones en ingresos federales por el mes de enero de 2022, así como el procedimiento seguido en la determinación e integración de las mismas, por entidades</w:t>
            </w:r>
            <w:r w:rsidRPr="00652F43">
              <w:rPr>
                <w:rFonts w:ascii="HelveticaNeueLT Std Lt" w:hAnsi="HelveticaNeueLT Std Lt"/>
                <w:sz w:val="20"/>
                <w:lang w:val="es-MX" w:eastAsia="es-MX"/>
              </w:rPr>
              <w:t xml:space="preserve"> </w:t>
            </w:r>
            <w:r w:rsidRPr="00D61C6C">
              <w:rPr>
                <w:rFonts w:ascii="HelveticaNeueLT Std Lt" w:hAnsi="HelveticaNeueLT Std Lt"/>
                <w:sz w:val="20"/>
                <w:lang w:val="es-MX" w:eastAsia="es-MX"/>
              </w:rPr>
              <w:t>federativas y, en su caso, por municipios. Las cifras correspondientes al mes de enero no incluyen deducciones derivadas de compromisos financieros contraídos por las entidades federativas.</w:t>
            </w:r>
          </w:p>
          <w:p w14:paraId="7657B407" w14:textId="77777777" w:rsidR="00652F43" w:rsidRDefault="00652F43" w:rsidP="00652F43">
            <w:pPr>
              <w:pStyle w:val="Texto"/>
              <w:spacing w:line="249" w:lineRule="exact"/>
              <w:ind w:left="720" w:firstLine="0"/>
              <w:rPr>
                <w:rFonts w:ascii="HelveticaNeueLT Std Lt" w:hAnsi="HelveticaNeueLT Std Lt"/>
                <w:sz w:val="20"/>
                <w:lang w:val="es-MX" w:eastAsia="es-MX"/>
              </w:rPr>
            </w:pPr>
          </w:p>
          <w:p w14:paraId="37B12D9A" w14:textId="4DDF9195" w:rsidR="00652F43" w:rsidRPr="00652F43" w:rsidRDefault="00652F43" w:rsidP="00652F43">
            <w:pPr>
              <w:pStyle w:val="Texto"/>
              <w:numPr>
                <w:ilvl w:val="0"/>
                <w:numId w:val="43"/>
              </w:numPr>
              <w:spacing w:line="249" w:lineRule="exact"/>
              <w:rPr>
                <w:rFonts w:ascii="HelveticaNeueLT Std Lt" w:hAnsi="HelveticaNeueLT Std Lt"/>
                <w:sz w:val="20"/>
                <w:lang w:val="es-MX" w:eastAsia="es-MX"/>
              </w:rPr>
            </w:pPr>
            <w:r>
              <w:rPr>
                <w:rFonts w:ascii="HelveticaNeueLT Std Lt" w:hAnsi="HelveticaNeueLT Std Lt"/>
                <w:sz w:val="20"/>
                <w:lang w:val="es-MX" w:eastAsia="es-MX"/>
              </w:rPr>
              <w:t>L</w:t>
            </w:r>
            <w:r w:rsidRPr="00652F43">
              <w:rPr>
                <w:rFonts w:ascii="HelveticaNeueLT Std Lt" w:hAnsi="HelveticaNeueLT Std Lt"/>
                <w:sz w:val="20"/>
                <w:lang w:val="es-MX" w:eastAsia="es-MX"/>
              </w:rPr>
              <w:t>a integración y distribución del Fondo de Fiscalización y Recaudación por el cuarto trimestre de 2021.</w:t>
            </w:r>
          </w:p>
        </w:tc>
      </w:tr>
      <w:tr w:rsidR="00652F43" w:rsidRPr="000D4D13" w14:paraId="5894FA85" w14:textId="77777777" w:rsidTr="006665EB">
        <w:trPr>
          <w:trHeight w:val="277"/>
        </w:trPr>
        <w:tc>
          <w:tcPr>
            <w:tcW w:w="617" w:type="dxa"/>
            <w:tcBorders>
              <w:top w:val="single" w:sz="4" w:space="0" w:color="auto"/>
              <w:bottom w:val="nil"/>
            </w:tcBorders>
          </w:tcPr>
          <w:p w14:paraId="67EFDC05" w14:textId="77777777" w:rsidR="00652F43" w:rsidRPr="000D4D13" w:rsidRDefault="00652F43" w:rsidP="00D61C6C">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77D8A007" w14:textId="77777777" w:rsidR="00652F43" w:rsidRPr="00B80921" w:rsidRDefault="00652F43"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nil"/>
            </w:tcBorders>
          </w:tcPr>
          <w:p w14:paraId="4C80222E" w14:textId="77777777" w:rsidR="00652F43" w:rsidRPr="00B80921" w:rsidRDefault="00652F43"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6AAC1F71" w14:textId="77777777" w:rsidR="00652F43" w:rsidRDefault="00652F43" w:rsidP="00D61C6C">
            <w:pPr>
              <w:jc w:val="both"/>
              <w:rPr>
                <w:rFonts w:ascii="HelveticaNeueLT Std" w:hAnsi="HelveticaNeueLT Std" w:cs="Arial"/>
                <w:b/>
                <w:bCs/>
                <w:sz w:val="20"/>
                <w:szCs w:val="20"/>
              </w:rPr>
            </w:pPr>
          </w:p>
        </w:tc>
        <w:tc>
          <w:tcPr>
            <w:tcW w:w="5812" w:type="dxa"/>
            <w:tcBorders>
              <w:top w:val="single" w:sz="4" w:space="0" w:color="auto"/>
              <w:bottom w:val="nil"/>
            </w:tcBorders>
          </w:tcPr>
          <w:p w14:paraId="683F1EFF" w14:textId="1DC0FA11" w:rsidR="00652F43" w:rsidRDefault="00652F43" w:rsidP="00652F43">
            <w:pPr>
              <w:pStyle w:val="Texto"/>
              <w:numPr>
                <w:ilvl w:val="0"/>
                <w:numId w:val="43"/>
              </w:numPr>
              <w:spacing w:line="249" w:lineRule="exact"/>
              <w:rPr>
                <w:rFonts w:ascii="HelveticaNeueLT Std Lt" w:hAnsi="HelveticaNeueLT Std Lt"/>
                <w:sz w:val="20"/>
                <w:lang w:val="es-MX" w:eastAsia="es-MX"/>
              </w:rPr>
            </w:pPr>
            <w:r w:rsidRPr="00652F43">
              <w:rPr>
                <w:rFonts w:ascii="HelveticaNeueLT Std Lt" w:hAnsi="HelveticaNeueLT Std Lt"/>
                <w:sz w:val="20"/>
                <w:lang w:val="es-MX" w:eastAsia="es-MX"/>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definitivos correspondientes a los ejercicios fiscales de 2021 y 2022.</w:t>
            </w:r>
          </w:p>
        </w:tc>
      </w:tr>
      <w:tr w:rsidR="00652F43" w:rsidRPr="000D4D13" w14:paraId="6056A496" w14:textId="77777777" w:rsidTr="006665EB">
        <w:trPr>
          <w:trHeight w:val="277"/>
        </w:trPr>
        <w:tc>
          <w:tcPr>
            <w:tcW w:w="617" w:type="dxa"/>
            <w:tcBorders>
              <w:top w:val="nil"/>
              <w:bottom w:val="single" w:sz="4" w:space="0" w:color="auto"/>
            </w:tcBorders>
          </w:tcPr>
          <w:p w14:paraId="05AD6D29" w14:textId="77777777" w:rsidR="00652F43" w:rsidRPr="000D4D13" w:rsidRDefault="00652F43" w:rsidP="00D61C6C">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tcPr>
          <w:p w14:paraId="69417377" w14:textId="77777777" w:rsidR="00652F43" w:rsidRPr="00B80921" w:rsidRDefault="00652F43"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0EF79791" w14:textId="77777777" w:rsidR="00652F43" w:rsidRPr="00B80921" w:rsidRDefault="00652F43" w:rsidP="00D61C6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tcPr>
          <w:p w14:paraId="37AB485F" w14:textId="77777777" w:rsidR="00652F43" w:rsidRDefault="00652F43"/>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52F43" w14:paraId="190B3F3E" w14:textId="77777777" w:rsidTr="00652F43">
              <w:trPr>
                <w:tblCellSpacing w:w="0" w:type="dxa"/>
              </w:trPr>
              <w:tc>
                <w:tcPr>
                  <w:tcW w:w="2817" w:type="dxa"/>
                  <w:shd w:val="clear" w:color="auto" w:fill="FFFFFF"/>
                  <w:vAlign w:val="center"/>
                  <w:hideMark/>
                </w:tcPr>
                <w:p w14:paraId="23719207" w14:textId="77777777" w:rsidR="00652F43" w:rsidRDefault="00652F43" w:rsidP="00652F43">
                  <w:pPr>
                    <w:jc w:val="both"/>
                    <w:rPr>
                      <w:rFonts w:ascii="Arial" w:hAnsi="Arial" w:cs="Arial"/>
                      <w:color w:val="2F2F2F"/>
                      <w:sz w:val="22"/>
                      <w:szCs w:val="22"/>
                      <w:lang w:eastAsia="es-MX"/>
                    </w:rPr>
                  </w:pPr>
                  <w:hyperlink r:id="rId11" w:history="1">
                    <w:r w:rsidRPr="00652F43">
                      <w:rPr>
                        <w:rFonts w:ascii="HelveticaNeueLT Std" w:hAnsi="HelveticaNeueLT Std"/>
                        <w:b/>
                        <w:bCs/>
                        <w:sz w:val="20"/>
                        <w:szCs w:val="20"/>
                      </w:rPr>
                      <w:t>Acuerdo por el que se modifica el diverso por el que se da a conocer a los gobiernos de las entidades federativas la distribución y calendarización para la ministración durante el ejercicio fiscal 2022, de los recursos correspondientes a los Ramos Generales 28 Participaciones a Entidades Federativas y Municipios y 33 Aportaciones Federales para Entidades Federativas y Municipios, publicado el 20 de diciembre de 2021</w:t>
                    </w:r>
                    <w:r>
                      <w:rPr>
                        <w:rStyle w:val="Hipervnculo"/>
                        <w:rFonts w:ascii="Arial" w:hAnsi="Arial" w:cs="Arial"/>
                        <w:color w:val="2F2F2F"/>
                        <w:sz w:val="22"/>
                        <w:szCs w:val="22"/>
                      </w:rPr>
                      <w:t>.</w:t>
                    </w:r>
                  </w:hyperlink>
                </w:p>
              </w:tc>
              <w:tc>
                <w:tcPr>
                  <w:tcW w:w="20" w:type="dxa"/>
                  <w:shd w:val="clear" w:color="auto" w:fill="FFFFFF"/>
                  <w:vAlign w:val="center"/>
                  <w:hideMark/>
                </w:tcPr>
                <w:p w14:paraId="56FBE84A" w14:textId="77777777" w:rsidR="00652F43" w:rsidRDefault="00652F43" w:rsidP="00652F43">
                  <w:pPr>
                    <w:rPr>
                      <w:rFonts w:ascii="Arial" w:hAnsi="Arial" w:cs="Arial"/>
                      <w:color w:val="2F2F2F"/>
                      <w:sz w:val="22"/>
                      <w:szCs w:val="22"/>
                    </w:rPr>
                  </w:pPr>
                </w:p>
              </w:tc>
            </w:tr>
            <w:tr w:rsidR="00652F43" w14:paraId="232020DB" w14:textId="77777777" w:rsidTr="00652F43">
              <w:trPr>
                <w:trHeight w:val="180"/>
                <w:tblCellSpacing w:w="0" w:type="dxa"/>
              </w:trPr>
              <w:tc>
                <w:tcPr>
                  <w:tcW w:w="2817" w:type="dxa"/>
                  <w:shd w:val="clear" w:color="auto" w:fill="FFFFFF"/>
                  <w:hideMark/>
                </w:tcPr>
                <w:p w14:paraId="5F85F7A0" w14:textId="0CD8A143" w:rsidR="00652F43" w:rsidRDefault="00652F43" w:rsidP="00652F4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D95B5EF" wp14:editId="5E30AFE4">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20" w:type="dxa"/>
                  <w:shd w:val="clear" w:color="auto" w:fill="FFFFFF"/>
                  <w:vAlign w:val="center"/>
                  <w:hideMark/>
                </w:tcPr>
                <w:p w14:paraId="3179A79E" w14:textId="77777777" w:rsidR="00652F43" w:rsidRDefault="00652F43" w:rsidP="00652F43">
                  <w:pPr>
                    <w:rPr>
                      <w:sz w:val="20"/>
                      <w:szCs w:val="20"/>
                    </w:rPr>
                  </w:pPr>
                </w:p>
              </w:tc>
            </w:tr>
          </w:tbl>
          <w:p w14:paraId="4B7E4867" w14:textId="77777777" w:rsidR="00652F43" w:rsidRDefault="00652F43" w:rsidP="00D61C6C">
            <w:pPr>
              <w:jc w:val="both"/>
              <w:rPr>
                <w:rFonts w:ascii="HelveticaNeueLT Std" w:hAnsi="HelveticaNeueLT Std" w:cs="Arial"/>
                <w:b/>
                <w:bCs/>
                <w:sz w:val="20"/>
                <w:szCs w:val="20"/>
              </w:rPr>
            </w:pPr>
          </w:p>
        </w:tc>
        <w:tc>
          <w:tcPr>
            <w:tcW w:w="5812" w:type="dxa"/>
            <w:tcBorders>
              <w:top w:val="nil"/>
              <w:bottom w:val="single" w:sz="4" w:space="0" w:color="auto"/>
            </w:tcBorders>
          </w:tcPr>
          <w:p w14:paraId="22991F94" w14:textId="77777777" w:rsidR="00652F43" w:rsidRDefault="00652F43" w:rsidP="00D61C6C">
            <w:pPr>
              <w:pStyle w:val="Texto"/>
              <w:spacing w:line="249" w:lineRule="exact"/>
              <w:ind w:firstLine="0"/>
              <w:rPr>
                <w:rFonts w:ascii="HelveticaNeueLT Std Lt" w:hAnsi="HelveticaNeueLT Std Lt"/>
                <w:sz w:val="20"/>
                <w:lang w:val="es-MX" w:eastAsia="es-MX"/>
              </w:rPr>
            </w:pPr>
          </w:p>
          <w:p w14:paraId="3829377C" w14:textId="77777777" w:rsidR="00652F43" w:rsidRDefault="00652F43" w:rsidP="00D61C6C">
            <w:pPr>
              <w:pStyle w:val="Texto"/>
              <w:spacing w:line="249" w:lineRule="exact"/>
              <w:ind w:firstLine="0"/>
              <w:rPr>
                <w:rFonts w:ascii="HelveticaNeueLT Std Lt" w:hAnsi="HelveticaNeueLT Std Lt"/>
                <w:sz w:val="20"/>
                <w:lang w:val="es-MX" w:eastAsia="es-MX"/>
              </w:rPr>
            </w:pPr>
            <w:r>
              <w:rPr>
                <w:rFonts w:ascii="HelveticaNeueLT Std Lt" w:hAnsi="HelveticaNeueLT Std Lt"/>
                <w:sz w:val="20"/>
                <w:lang w:val="es-MX" w:eastAsia="es-MX"/>
              </w:rPr>
              <w:t xml:space="preserve">A través del presente acuerdo se da a conocer: </w:t>
            </w:r>
          </w:p>
          <w:p w14:paraId="45256E67" w14:textId="77777777" w:rsidR="00652F43" w:rsidRDefault="00652F43" w:rsidP="00652F43">
            <w:pPr>
              <w:pStyle w:val="Texto"/>
              <w:numPr>
                <w:ilvl w:val="0"/>
                <w:numId w:val="44"/>
              </w:numPr>
              <w:spacing w:line="249" w:lineRule="exact"/>
              <w:rPr>
                <w:rFonts w:ascii="HelveticaNeueLT Std Lt" w:hAnsi="HelveticaNeueLT Std Lt"/>
                <w:sz w:val="20"/>
                <w:lang w:val="es-MX" w:eastAsia="es-MX"/>
              </w:rPr>
            </w:pPr>
            <w:r w:rsidRPr="00652F43">
              <w:rPr>
                <w:rFonts w:ascii="HelveticaNeueLT Std Lt" w:hAnsi="HelveticaNeueLT Std Lt"/>
                <w:sz w:val="20"/>
                <w:lang w:val="es-MX" w:eastAsia="es-MX"/>
              </w:rPr>
              <w:t>En cumplimiento del Décimo Sexto transitorio, segundo párrafo, del Presupuesto de Egresos de la Federación para el Ejercicio Fiscal 2022, se realizan los ajustes a la distribución y calendarización del monto anual del Fondo de Aportaciones para el Fortalecimiento de los Municipios y de las Demarcaciones Territoriales del Distrito Federal y del Fondo de Aportaciones para el Fortalecimiento de las Entidades Federativas para el ejercicio fiscal 2022, por lo que se reforman los anexos 16, 26 y 35 del Acuerdo por el que se da a conocer a los gobiernos de las entidades federativas la distribución y calendarización para la ministración durante el ejercicio fiscal 2022, de los recursos correspondientes a los Ramos Generales 28 Participaciones a Entidades Federativas y Municipios y 33 Aportaciones Federales para Entidades Federativas y Municipios publicado en el Diario Oficial de la Federación el 20 de diciembre de 2021</w:t>
            </w:r>
            <w:r>
              <w:rPr>
                <w:rFonts w:ascii="HelveticaNeueLT Std Lt" w:hAnsi="HelveticaNeueLT Std Lt"/>
                <w:sz w:val="20"/>
                <w:lang w:val="es-MX" w:eastAsia="es-MX"/>
              </w:rPr>
              <w:t xml:space="preserve">. </w:t>
            </w:r>
          </w:p>
          <w:p w14:paraId="43E62416" w14:textId="77777777" w:rsidR="00652F43" w:rsidRPr="00652F43" w:rsidRDefault="00652F43" w:rsidP="00652F43">
            <w:pPr>
              <w:pStyle w:val="Texto"/>
              <w:numPr>
                <w:ilvl w:val="0"/>
                <w:numId w:val="44"/>
              </w:numPr>
              <w:spacing w:line="249" w:lineRule="exact"/>
              <w:rPr>
                <w:rFonts w:ascii="HelveticaNeueLT Std Lt" w:hAnsi="HelveticaNeueLT Std Lt"/>
                <w:sz w:val="20"/>
                <w:lang w:val="es-MX" w:eastAsia="es-MX"/>
              </w:rPr>
            </w:pPr>
            <w:r w:rsidRPr="00652F43">
              <w:rPr>
                <w:rFonts w:ascii="HelveticaNeueLT Std Lt" w:hAnsi="HelveticaNeueLT Std Lt"/>
                <w:sz w:val="20"/>
                <w:lang w:val="es-MX" w:eastAsia="es-MX"/>
              </w:rPr>
              <w:t>El presente Acuerdo entrará en vigor al día</w:t>
            </w:r>
            <w:r w:rsidRPr="00652F43">
              <w:rPr>
                <w:rFonts w:ascii="HelveticaNeueLT Std Lt" w:hAnsi="HelveticaNeueLT Std Lt"/>
                <w:sz w:val="20"/>
                <w:lang w:val="es-MX" w:eastAsia="es-MX"/>
              </w:rPr>
              <w:t xml:space="preserve"> 26 de febrero del 2022. </w:t>
            </w:r>
          </w:p>
          <w:p w14:paraId="46AC7022" w14:textId="1C4B70A6" w:rsidR="00652F43" w:rsidRDefault="00652F43" w:rsidP="00652F43">
            <w:pPr>
              <w:pStyle w:val="Texto"/>
              <w:numPr>
                <w:ilvl w:val="0"/>
                <w:numId w:val="44"/>
              </w:numPr>
              <w:spacing w:line="249" w:lineRule="exact"/>
              <w:rPr>
                <w:rFonts w:ascii="HelveticaNeueLT Std Lt" w:hAnsi="HelveticaNeueLT Std Lt"/>
                <w:sz w:val="20"/>
                <w:lang w:val="es-MX" w:eastAsia="es-MX"/>
              </w:rPr>
            </w:pPr>
            <w:r w:rsidRPr="00652F43">
              <w:rPr>
                <w:rFonts w:ascii="HelveticaNeueLT Std Lt" w:hAnsi="HelveticaNeueLT Std Lt"/>
                <w:sz w:val="20"/>
                <w:lang w:val="es-MX" w:eastAsia="es-MX"/>
              </w:rPr>
              <w:t>Se dejan sin efectos las disposiciones administrativas que se opongan al presente Acuerdo.</w:t>
            </w:r>
          </w:p>
        </w:tc>
      </w:tr>
      <w:tr w:rsidR="006665EB" w:rsidRPr="000D4D13" w14:paraId="6DDF215E" w14:textId="77777777" w:rsidTr="006665EB">
        <w:trPr>
          <w:trHeight w:val="277"/>
        </w:trPr>
        <w:tc>
          <w:tcPr>
            <w:tcW w:w="617" w:type="dxa"/>
            <w:tcBorders>
              <w:top w:val="single" w:sz="4" w:space="0" w:color="auto"/>
              <w:bottom w:val="single" w:sz="4" w:space="0" w:color="auto"/>
            </w:tcBorders>
          </w:tcPr>
          <w:p w14:paraId="6E153FE7" w14:textId="77777777" w:rsidR="006665EB" w:rsidRPr="000D4D13" w:rsidRDefault="006665EB" w:rsidP="006665EB">
            <w:pPr>
              <w:spacing w:line="276" w:lineRule="auto"/>
              <w:jc w:val="center"/>
              <w:rPr>
                <w:rFonts w:ascii="HelveticaNeueLT Std" w:hAnsi="HelveticaNeueLT Std" w:cs="Arial"/>
                <w:b/>
                <w:bCs/>
                <w:sz w:val="20"/>
                <w:szCs w:val="20"/>
              </w:rPr>
            </w:pPr>
          </w:p>
          <w:p w14:paraId="6FDFAA0B" w14:textId="0A6E47B0" w:rsidR="006665EB" w:rsidRPr="000D4D13" w:rsidRDefault="006665EB" w:rsidP="006665E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127" w:type="dxa"/>
            <w:tcBorders>
              <w:top w:val="single" w:sz="4" w:space="0" w:color="auto"/>
              <w:bottom w:val="single" w:sz="4" w:space="0" w:color="auto"/>
            </w:tcBorders>
          </w:tcPr>
          <w:p w14:paraId="2AD86176"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A1FAC75" w14:textId="2EBB8CD2"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w:t>
            </w:r>
            <w:r>
              <w:rPr>
                <w:rFonts w:ascii="HelveticaNeueLT Std" w:eastAsia="MS Mincho" w:hAnsi="HelveticaNeueLT Std"/>
                <w:bCs/>
                <w:sz w:val="20"/>
                <w:szCs w:val="20"/>
                <w:lang w:eastAsia="en-US"/>
              </w:rPr>
              <w:t>- febrero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3C27CE02"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E1703D5"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728B5217" w14:textId="33FAEBCE"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single" w:sz="4" w:space="0" w:color="auto"/>
              <w:bottom w:val="single" w:sz="4" w:space="0" w:color="auto"/>
            </w:tcBorders>
          </w:tcPr>
          <w:p w14:paraId="3C35071E"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95ED619"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64872DF" w14:textId="77777777"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D94459" w14:textId="446B9D2B" w:rsidR="006665EB" w:rsidRPr="00B80921" w:rsidRDefault="006665EB" w:rsidP="006665EB">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p w14:paraId="2721C7D3" w14:textId="77777777" w:rsidR="006665EB" w:rsidRDefault="006665EB" w:rsidP="006665EB"/>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665EB" w14:paraId="53C7C297" w14:textId="77777777" w:rsidTr="006665EB">
              <w:trPr>
                <w:tblCellSpacing w:w="0" w:type="dxa"/>
              </w:trPr>
              <w:tc>
                <w:tcPr>
                  <w:tcW w:w="8832" w:type="dxa"/>
                  <w:shd w:val="clear" w:color="auto" w:fill="FFFFFF"/>
                  <w:vAlign w:val="center"/>
                  <w:hideMark/>
                </w:tcPr>
                <w:p w14:paraId="684773B4" w14:textId="77777777" w:rsidR="006665EB" w:rsidRDefault="006665EB" w:rsidP="006665EB">
                  <w:pPr>
                    <w:jc w:val="both"/>
                    <w:rPr>
                      <w:rFonts w:ascii="Arial" w:hAnsi="Arial" w:cs="Arial"/>
                      <w:color w:val="2F2F2F"/>
                      <w:sz w:val="22"/>
                      <w:szCs w:val="22"/>
                      <w:lang w:eastAsia="es-MX"/>
                    </w:rPr>
                  </w:pPr>
                  <w:hyperlink r:id="rId12" w:history="1">
                    <w:r w:rsidRPr="006665EB">
                      <w:rPr>
                        <w:rFonts w:ascii="HelveticaNeueLT Std" w:hAnsi="HelveticaNeueLT Std"/>
                        <w:b/>
                        <w:bCs/>
                        <w:sz w:val="20"/>
                        <w:szCs w:val="20"/>
                      </w:rPr>
                      <w:t>Acuerdo por el que se dan a conocer las cuotas por el trasvase de aguas nacionales.</w:t>
                    </w:r>
                  </w:hyperlink>
                </w:p>
              </w:tc>
              <w:tc>
                <w:tcPr>
                  <w:tcW w:w="6" w:type="dxa"/>
                  <w:shd w:val="clear" w:color="auto" w:fill="FFFFFF"/>
                  <w:vAlign w:val="center"/>
                  <w:hideMark/>
                </w:tcPr>
                <w:p w14:paraId="182EBAFA" w14:textId="77777777" w:rsidR="006665EB" w:rsidRDefault="006665EB" w:rsidP="006665EB">
                  <w:pPr>
                    <w:rPr>
                      <w:rFonts w:ascii="Arial" w:hAnsi="Arial" w:cs="Arial"/>
                      <w:color w:val="2F2F2F"/>
                      <w:sz w:val="22"/>
                      <w:szCs w:val="22"/>
                    </w:rPr>
                  </w:pPr>
                </w:p>
              </w:tc>
            </w:tr>
            <w:tr w:rsidR="006665EB" w14:paraId="5BDD9A1E" w14:textId="77777777" w:rsidTr="006665EB">
              <w:trPr>
                <w:trHeight w:val="180"/>
                <w:tblCellSpacing w:w="0" w:type="dxa"/>
              </w:trPr>
              <w:tc>
                <w:tcPr>
                  <w:tcW w:w="8832" w:type="dxa"/>
                  <w:shd w:val="clear" w:color="auto" w:fill="FFFFFF"/>
                  <w:hideMark/>
                </w:tcPr>
                <w:p w14:paraId="3180F66B" w14:textId="4E6FB73D" w:rsidR="006665EB" w:rsidRDefault="006665EB" w:rsidP="006665EB">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199E733" wp14:editId="4F92D12E">
                        <wp:extent cx="95250" cy="11430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3B7A3F5D" w14:textId="77777777" w:rsidR="006665EB" w:rsidRDefault="006665EB" w:rsidP="006665EB">
                  <w:pPr>
                    <w:rPr>
                      <w:sz w:val="20"/>
                      <w:szCs w:val="20"/>
                    </w:rPr>
                  </w:pPr>
                </w:p>
              </w:tc>
            </w:tr>
          </w:tbl>
          <w:p w14:paraId="5B1FFE3F" w14:textId="23379A28" w:rsidR="006665EB" w:rsidRDefault="006665EB" w:rsidP="006665EB"/>
        </w:tc>
        <w:tc>
          <w:tcPr>
            <w:tcW w:w="5812" w:type="dxa"/>
            <w:tcBorders>
              <w:top w:val="single" w:sz="4" w:space="0" w:color="auto"/>
              <w:bottom w:val="single" w:sz="4" w:space="0" w:color="auto"/>
            </w:tcBorders>
          </w:tcPr>
          <w:p w14:paraId="50F4FDA9" w14:textId="77777777" w:rsidR="006665EB" w:rsidRDefault="006665EB" w:rsidP="006665EB">
            <w:pPr>
              <w:pStyle w:val="Texto"/>
              <w:spacing w:line="249" w:lineRule="exact"/>
              <w:ind w:firstLine="0"/>
              <w:rPr>
                <w:rFonts w:ascii="HelveticaNeueLT Std Lt" w:hAnsi="HelveticaNeueLT Std Lt"/>
                <w:sz w:val="20"/>
                <w:lang w:val="es-MX" w:eastAsia="es-MX"/>
              </w:rPr>
            </w:pPr>
          </w:p>
          <w:p w14:paraId="53F12996" w14:textId="77777777" w:rsidR="006665EB" w:rsidRDefault="006665EB" w:rsidP="006665EB">
            <w:pPr>
              <w:pStyle w:val="Texto"/>
              <w:spacing w:line="249" w:lineRule="exact"/>
              <w:ind w:firstLine="0"/>
              <w:rPr>
                <w:rFonts w:ascii="HelveticaNeueLT Std Lt" w:hAnsi="HelveticaNeueLT Std Lt"/>
                <w:sz w:val="20"/>
                <w:lang w:val="es-MX" w:eastAsia="es-MX"/>
              </w:rPr>
            </w:pPr>
            <w:r>
              <w:rPr>
                <w:rFonts w:ascii="HelveticaNeueLT Std Lt" w:hAnsi="HelveticaNeueLT Std Lt"/>
                <w:sz w:val="20"/>
                <w:lang w:val="es-MX" w:eastAsia="es-MX"/>
              </w:rPr>
              <w:t xml:space="preserve">A través del presente acuerdo se da a conocer: </w:t>
            </w:r>
          </w:p>
          <w:p w14:paraId="2D76A98A" w14:textId="77777777" w:rsidR="006665EB" w:rsidRDefault="006665EB" w:rsidP="006665EB">
            <w:pPr>
              <w:pStyle w:val="Texto"/>
              <w:spacing w:line="249" w:lineRule="exact"/>
              <w:ind w:firstLine="0"/>
              <w:rPr>
                <w:rFonts w:ascii="HelveticaNeueLT Std Lt" w:hAnsi="HelveticaNeueLT Std Lt"/>
                <w:sz w:val="20"/>
                <w:lang w:val="es-MX" w:eastAsia="es-MX"/>
              </w:rPr>
            </w:pPr>
          </w:p>
          <w:p w14:paraId="68A5A615" w14:textId="77777777" w:rsidR="006665EB" w:rsidRPr="006665EB" w:rsidRDefault="006665EB" w:rsidP="006665EB">
            <w:pPr>
              <w:pStyle w:val="Texto"/>
              <w:numPr>
                <w:ilvl w:val="0"/>
                <w:numId w:val="45"/>
              </w:numPr>
              <w:spacing w:line="249" w:lineRule="exact"/>
              <w:rPr>
                <w:rFonts w:ascii="HelveticaNeueLT Std Lt" w:hAnsi="HelveticaNeueLT Std Lt"/>
                <w:sz w:val="20"/>
                <w:lang w:val="es-MX" w:eastAsia="es-MX"/>
              </w:rPr>
            </w:pPr>
            <w:r w:rsidRPr="006665EB">
              <w:rPr>
                <w:rFonts w:ascii="HelveticaNeueLT Std Lt" w:hAnsi="HelveticaNeueLT Std Lt"/>
                <w:sz w:val="20"/>
                <w:lang w:val="es-MX" w:eastAsia="es-MX"/>
              </w:rPr>
              <w:t>L</w:t>
            </w:r>
            <w:r w:rsidRPr="006665EB">
              <w:rPr>
                <w:rFonts w:ascii="HelveticaNeueLT Std Lt" w:hAnsi="HelveticaNeueLT Std Lt"/>
                <w:sz w:val="20"/>
                <w:lang w:val="es-MX" w:eastAsia="es-MX"/>
              </w:rPr>
              <w:t>as cuotas por el trasvase de aguas nacionales, que los contribuyentes podrán optar por pagar respecto de los derechos correspondientes al ejercicio fiscal de 2022, (t*) resultado de la aplicación de la fórmula que se establece en el artículo 223-Bis de la Ley Federal de Derecho</w:t>
            </w:r>
            <w:r w:rsidRPr="006665EB">
              <w:rPr>
                <w:rFonts w:ascii="HelveticaNeueLT Std Lt" w:hAnsi="HelveticaNeueLT Std Lt"/>
                <w:sz w:val="20"/>
                <w:lang w:val="es-MX" w:eastAsia="es-MX"/>
              </w:rPr>
              <w:t xml:space="preserve">. </w:t>
            </w:r>
          </w:p>
          <w:p w14:paraId="0DE433EB" w14:textId="77777777" w:rsidR="006665EB" w:rsidRPr="006665EB" w:rsidRDefault="006665EB" w:rsidP="006665EB">
            <w:pPr>
              <w:pStyle w:val="Texto"/>
              <w:numPr>
                <w:ilvl w:val="0"/>
                <w:numId w:val="45"/>
              </w:numPr>
              <w:spacing w:line="249" w:lineRule="exact"/>
              <w:rPr>
                <w:rFonts w:ascii="HelveticaNeueLT Std Lt" w:hAnsi="HelveticaNeueLT Std Lt"/>
                <w:sz w:val="20"/>
                <w:lang w:val="es-MX" w:eastAsia="es-MX"/>
              </w:rPr>
            </w:pPr>
            <w:r w:rsidRPr="006665EB">
              <w:rPr>
                <w:rFonts w:ascii="HelveticaNeueLT Std Lt" w:hAnsi="HelveticaNeueLT Std Lt"/>
                <w:sz w:val="20"/>
                <w:lang w:val="es-MX" w:eastAsia="es-MX"/>
              </w:rPr>
              <w:t>El presente Acuerdo entrará en vigor el día </w:t>
            </w:r>
            <w:r w:rsidRPr="006665EB">
              <w:rPr>
                <w:rFonts w:ascii="HelveticaNeueLT Std Lt" w:hAnsi="HelveticaNeueLT Std Lt"/>
                <w:sz w:val="20"/>
                <w:lang w:val="es-MX" w:eastAsia="es-MX"/>
              </w:rPr>
              <w:t xml:space="preserve">01 de marzo del 2022. </w:t>
            </w:r>
          </w:p>
          <w:p w14:paraId="756990A6" w14:textId="7CF63F38" w:rsidR="006665EB" w:rsidRDefault="006665EB" w:rsidP="006665EB">
            <w:pPr>
              <w:pStyle w:val="Texto"/>
              <w:spacing w:line="249" w:lineRule="exact"/>
              <w:ind w:firstLine="0"/>
              <w:rPr>
                <w:rFonts w:ascii="HelveticaNeueLT Std Lt" w:hAnsi="HelveticaNeueLT Std Lt"/>
                <w:sz w:val="20"/>
                <w:lang w:val="es-MX" w:eastAsia="es-MX"/>
              </w:rPr>
            </w:pP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3"/>
      <w:footerReference w:type="default" r:id="rId14"/>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3867" w14:textId="77777777" w:rsidR="00423499" w:rsidRDefault="00423499" w:rsidP="00FA6D75">
      <w:r>
        <w:separator/>
      </w:r>
    </w:p>
  </w:endnote>
  <w:endnote w:type="continuationSeparator" w:id="0">
    <w:p w14:paraId="7A624EC0" w14:textId="77777777" w:rsidR="00423499" w:rsidRDefault="0042349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5345F4A0" w:rsidR="00121717" w:rsidRPr="002A6630" w:rsidRDefault="004F65F3" w:rsidP="002A6630">
    <w:pPr>
      <w:pStyle w:val="Piedepgina"/>
      <w:ind w:left="-1560" w:right="-888"/>
      <w:jc w:val="right"/>
      <w:rPr>
        <w:rFonts w:ascii="Arial" w:hAnsi="Arial" w:cs="Arial"/>
        <w:b/>
        <w:sz w:val="20"/>
        <w:szCs w:val="20"/>
      </w:rPr>
    </w:pPr>
    <w:proofErr w:type="spellStart"/>
    <w:r>
      <w:rPr>
        <w:rFonts w:ascii="Arial" w:hAnsi="Arial" w:cs="Arial"/>
        <w:b/>
        <w:sz w:val="20"/>
        <w:szCs w:val="20"/>
      </w:rPr>
      <w:t>ESL</w:t>
    </w:r>
    <w:proofErr w:type="spellEnd"/>
    <w:r w:rsidR="00121717" w:rsidRPr="002A6630">
      <w:rPr>
        <w:rFonts w:ascii="Arial" w:hAnsi="Arial" w:cs="Arial"/>
        <w:b/>
        <w:sz w:val="20"/>
        <w:szCs w:val="20"/>
      </w:rPr>
      <w:t>/</w:t>
    </w:r>
    <w:proofErr w:type="spellStart"/>
    <w:r w:rsidR="0047799F">
      <w:rPr>
        <w:rFonts w:ascii="Arial" w:hAnsi="Arial" w:cs="Arial"/>
        <w:b/>
        <w:sz w:val="20"/>
        <w:szCs w:val="20"/>
      </w:rPr>
      <w:t>RRM</w:t>
    </w:r>
    <w:proofErr w:type="spellEnd"/>
    <w:r w:rsidR="00121717" w:rsidRPr="002A6630">
      <w:rPr>
        <w:rFonts w:ascii="Arial" w:hAnsi="Arial" w:cs="Arial"/>
        <w:b/>
        <w:sz w:val="20"/>
        <w:szCs w:val="20"/>
      </w:rPr>
      <w:t>/</w:t>
    </w:r>
    <w:proofErr w:type="spellStart"/>
    <w:r w:rsidR="0047799F">
      <w:rPr>
        <w:rFonts w:ascii="Arial" w:hAnsi="Arial" w:cs="Arial"/>
        <w:b/>
        <w:sz w:val="20"/>
        <w:szCs w:val="20"/>
      </w:rPr>
      <w:t>JLNV</w:t>
    </w:r>
    <w:proofErr w:type="spellEnd"/>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9C15EF">
              <w:rPr>
                <w:rFonts w:ascii="Arial" w:hAnsi="Arial" w:cs="Arial"/>
                <w:b/>
                <w:bCs/>
                <w:noProof/>
                <w:sz w:val="20"/>
                <w:szCs w:val="20"/>
              </w:rPr>
              <w:t>5</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9C15EF">
              <w:rPr>
                <w:rFonts w:ascii="Arial" w:hAnsi="Arial" w:cs="Arial"/>
                <w:b/>
                <w:bCs/>
                <w:noProof/>
                <w:sz w:val="20"/>
                <w:szCs w:val="20"/>
              </w:rPr>
              <w:t>5</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490C" w14:textId="77777777" w:rsidR="00423499" w:rsidRDefault="00423499" w:rsidP="00FA6D75">
      <w:r>
        <w:separator/>
      </w:r>
    </w:p>
  </w:footnote>
  <w:footnote w:type="continuationSeparator" w:id="0">
    <w:p w14:paraId="0CD048E0" w14:textId="77777777" w:rsidR="00423499" w:rsidRDefault="00423499"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7.5pt;height:7.5pt;visibility:visible;mso-wrap-style:square" o:bullet="t">
        <v:imagedata r:id="rId1" o:title=""/>
      </v:shape>
    </w:pict>
  </w:numPicBullet>
  <w:abstractNum w:abstractNumId="0" w15:restartNumberingAfterBreak="0">
    <w:nsid w:val="04195D00"/>
    <w:multiLevelType w:val="hybridMultilevel"/>
    <w:tmpl w:val="97D2BB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F5E70"/>
    <w:multiLevelType w:val="hybridMultilevel"/>
    <w:tmpl w:val="94784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92A08"/>
    <w:multiLevelType w:val="hybridMultilevel"/>
    <w:tmpl w:val="8C0AC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B71BA"/>
    <w:multiLevelType w:val="hybridMultilevel"/>
    <w:tmpl w:val="3B56E1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04742"/>
    <w:multiLevelType w:val="hybridMultilevel"/>
    <w:tmpl w:val="DE0C24D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6722C5"/>
    <w:multiLevelType w:val="hybridMultilevel"/>
    <w:tmpl w:val="278455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E4A6281"/>
    <w:multiLevelType w:val="hybridMultilevel"/>
    <w:tmpl w:val="7EC4B5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294F7D"/>
    <w:multiLevelType w:val="hybridMultilevel"/>
    <w:tmpl w:val="D8DE5B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763E9"/>
    <w:multiLevelType w:val="hybridMultilevel"/>
    <w:tmpl w:val="DA7C77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C466630"/>
    <w:multiLevelType w:val="hybridMultilevel"/>
    <w:tmpl w:val="32F67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420F8B"/>
    <w:multiLevelType w:val="hybridMultilevel"/>
    <w:tmpl w:val="D70A2534"/>
    <w:lvl w:ilvl="0" w:tplc="080A0001">
      <w:start w:val="1"/>
      <w:numFmt w:val="bullet"/>
      <w:lvlText w:val=""/>
      <w:lvlJc w:val="left"/>
      <w:pPr>
        <w:ind w:left="234" w:hanging="360"/>
      </w:pPr>
      <w:rPr>
        <w:rFonts w:ascii="Symbol" w:hAnsi="Symbol" w:hint="default"/>
      </w:rPr>
    </w:lvl>
    <w:lvl w:ilvl="1" w:tplc="080A0003" w:tentative="1">
      <w:start w:val="1"/>
      <w:numFmt w:val="bullet"/>
      <w:lvlText w:val="o"/>
      <w:lvlJc w:val="left"/>
      <w:pPr>
        <w:ind w:left="954" w:hanging="360"/>
      </w:pPr>
      <w:rPr>
        <w:rFonts w:ascii="Courier New" w:hAnsi="Courier New" w:cs="Courier New" w:hint="default"/>
      </w:rPr>
    </w:lvl>
    <w:lvl w:ilvl="2" w:tplc="080A0005" w:tentative="1">
      <w:start w:val="1"/>
      <w:numFmt w:val="bullet"/>
      <w:lvlText w:val=""/>
      <w:lvlJc w:val="left"/>
      <w:pPr>
        <w:ind w:left="1674" w:hanging="360"/>
      </w:pPr>
      <w:rPr>
        <w:rFonts w:ascii="Wingdings" w:hAnsi="Wingdings" w:hint="default"/>
      </w:rPr>
    </w:lvl>
    <w:lvl w:ilvl="3" w:tplc="080A0001" w:tentative="1">
      <w:start w:val="1"/>
      <w:numFmt w:val="bullet"/>
      <w:lvlText w:val=""/>
      <w:lvlJc w:val="left"/>
      <w:pPr>
        <w:ind w:left="2394" w:hanging="360"/>
      </w:pPr>
      <w:rPr>
        <w:rFonts w:ascii="Symbol" w:hAnsi="Symbol" w:hint="default"/>
      </w:rPr>
    </w:lvl>
    <w:lvl w:ilvl="4" w:tplc="080A0003" w:tentative="1">
      <w:start w:val="1"/>
      <w:numFmt w:val="bullet"/>
      <w:lvlText w:val="o"/>
      <w:lvlJc w:val="left"/>
      <w:pPr>
        <w:ind w:left="3114" w:hanging="360"/>
      </w:pPr>
      <w:rPr>
        <w:rFonts w:ascii="Courier New" w:hAnsi="Courier New" w:cs="Courier New" w:hint="default"/>
      </w:rPr>
    </w:lvl>
    <w:lvl w:ilvl="5" w:tplc="080A0005" w:tentative="1">
      <w:start w:val="1"/>
      <w:numFmt w:val="bullet"/>
      <w:lvlText w:val=""/>
      <w:lvlJc w:val="left"/>
      <w:pPr>
        <w:ind w:left="3834" w:hanging="360"/>
      </w:pPr>
      <w:rPr>
        <w:rFonts w:ascii="Wingdings" w:hAnsi="Wingdings" w:hint="default"/>
      </w:rPr>
    </w:lvl>
    <w:lvl w:ilvl="6" w:tplc="080A0001" w:tentative="1">
      <w:start w:val="1"/>
      <w:numFmt w:val="bullet"/>
      <w:lvlText w:val=""/>
      <w:lvlJc w:val="left"/>
      <w:pPr>
        <w:ind w:left="4554" w:hanging="360"/>
      </w:pPr>
      <w:rPr>
        <w:rFonts w:ascii="Symbol" w:hAnsi="Symbol" w:hint="default"/>
      </w:rPr>
    </w:lvl>
    <w:lvl w:ilvl="7" w:tplc="080A0003" w:tentative="1">
      <w:start w:val="1"/>
      <w:numFmt w:val="bullet"/>
      <w:lvlText w:val="o"/>
      <w:lvlJc w:val="left"/>
      <w:pPr>
        <w:ind w:left="5274" w:hanging="360"/>
      </w:pPr>
      <w:rPr>
        <w:rFonts w:ascii="Courier New" w:hAnsi="Courier New" w:cs="Courier New" w:hint="default"/>
      </w:rPr>
    </w:lvl>
    <w:lvl w:ilvl="8" w:tplc="080A0005" w:tentative="1">
      <w:start w:val="1"/>
      <w:numFmt w:val="bullet"/>
      <w:lvlText w:val=""/>
      <w:lvlJc w:val="left"/>
      <w:pPr>
        <w:ind w:left="5994" w:hanging="360"/>
      </w:pPr>
      <w:rPr>
        <w:rFonts w:ascii="Wingdings" w:hAnsi="Wingdings" w:hint="default"/>
      </w:rPr>
    </w:lvl>
  </w:abstractNum>
  <w:abstractNum w:abstractNumId="11" w15:restartNumberingAfterBreak="0">
    <w:nsid w:val="1ED9173E"/>
    <w:multiLevelType w:val="hybridMultilevel"/>
    <w:tmpl w:val="970881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455A3A"/>
    <w:multiLevelType w:val="hybridMultilevel"/>
    <w:tmpl w:val="C9CE6126"/>
    <w:lvl w:ilvl="0" w:tplc="D1C64DC4">
      <w:start w:val="1"/>
      <w:numFmt w:val="upperLetter"/>
      <w:lvlText w:val="%1."/>
      <w:lvlJc w:val="left"/>
      <w:pPr>
        <w:ind w:left="-21" w:hanging="465"/>
      </w:pPr>
      <w:rPr>
        <w:rFonts w:hint="default"/>
        <w:b/>
      </w:rPr>
    </w:lvl>
    <w:lvl w:ilvl="1" w:tplc="080A0019" w:tentative="1">
      <w:start w:val="1"/>
      <w:numFmt w:val="lowerLetter"/>
      <w:lvlText w:val="%2."/>
      <w:lvlJc w:val="left"/>
      <w:pPr>
        <w:ind w:left="594" w:hanging="360"/>
      </w:pPr>
    </w:lvl>
    <w:lvl w:ilvl="2" w:tplc="080A001B" w:tentative="1">
      <w:start w:val="1"/>
      <w:numFmt w:val="lowerRoman"/>
      <w:lvlText w:val="%3."/>
      <w:lvlJc w:val="right"/>
      <w:pPr>
        <w:ind w:left="1314" w:hanging="180"/>
      </w:pPr>
    </w:lvl>
    <w:lvl w:ilvl="3" w:tplc="080A000F" w:tentative="1">
      <w:start w:val="1"/>
      <w:numFmt w:val="decimal"/>
      <w:lvlText w:val="%4."/>
      <w:lvlJc w:val="left"/>
      <w:pPr>
        <w:ind w:left="2034" w:hanging="360"/>
      </w:pPr>
    </w:lvl>
    <w:lvl w:ilvl="4" w:tplc="080A0019" w:tentative="1">
      <w:start w:val="1"/>
      <w:numFmt w:val="lowerLetter"/>
      <w:lvlText w:val="%5."/>
      <w:lvlJc w:val="left"/>
      <w:pPr>
        <w:ind w:left="2754" w:hanging="360"/>
      </w:pPr>
    </w:lvl>
    <w:lvl w:ilvl="5" w:tplc="080A001B" w:tentative="1">
      <w:start w:val="1"/>
      <w:numFmt w:val="lowerRoman"/>
      <w:lvlText w:val="%6."/>
      <w:lvlJc w:val="right"/>
      <w:pPr>
        <w:ind w:left="3474" w:hanging="180"/>
      </w:pPr>
    </w:lvl>
    <w:lvl w:ilvl="6" w:tplc="080A000F" w:tentative="1">
      <w:start w:val="1"/>
      <w:numFmt w:val="decimal"/>
      <w:lvlText w:val="%7."/>
      <w:lvlJc w:val="left"/>
      <w:pPr>
        <w:ind w:left="4194" w:hanging="360"/>
      </w:pPr>
    </w:lvl>
    <w:lvl w:ilvl="7" w:tplc="080A0019" w:tentative="1">
      <w:start w:val="1"/>
      <w:numFmt w:val="lowerLetter"/>
      <w:lvlText w:val="%8."/>
      <w:lvlJc w:val="left"/>
      <w:pPr>
        <w:ind w:left="4914" w:hanging="360"/>
      </w:pPr>
    </w:lvl>
    <w:lvl w:ilvl="8" w:tplc="080A001B" w:tentative="1">
      <w:start w:val="1"/>
      <w:numFmt w:val="lowerRoman"/>
      <w:lvlText w:val="%9."/>
      <w:lvlJc w:val="right"/>
      <w:pPr>
        <w:ind w:left="5634" w:hanging="180"/>
      </w:pPr>
    </w:lvl>
  </w:abstractNum>
  <w:abstractNum w:abstractNumId="13" w15:restartNumberingAfterBreak="0">
    <w:nsid w:val="214175C2"/>
    <w:multiLevelType w:val="hybridMultilevel"/>
    <w:tmpl w:val="B43040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383D6B"/>
    <w:multiLevelType w:val="hybridMultilevel"/>
    <w:tmpl w:val="C15C8D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55504"/>
    <w:multiLevelType w:val="hybridMultilevel"/>
    <w:tmpl w:val="93C20888"/>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6" w15:restartNumberingAfterBreak="0">
    <w:nsid w:val="27EF3DA9"/>
    <w:multiLevelType w:val="hybridMultilevel"/>
    <w:tmpl w:val="C946FB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8F6F41"/>
    <w:multiLevelType w:val="hybridMultilevel"/>
    <w:tmpl w:val="E92CE4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004423"/>
    <w:multiLevelType w:val="hybridMultilevel"/>
    <w:tmpl w:val="70284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C57B2C"/>
    <w:multiLevelType w:val="hybridMultilevel"/>
    <w:tmpl w:val="1BC6E2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854B01"/>
    <w:multiLevelType w:val="hybridMultilevel"/>
    <w:tmpl w:val="43B6F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1131DE"/>
    <w:multiLevelType w:val="hybridMultilevel"/>
    <w:tmpl w:val="8C620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51333"/>
    <w:multiLevelType w:val="hybridMultilevel"/>
    <w:tmpl w:val="76B69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2E5CDC"/>
    <w:multiLevelType w:val="hybridMultilevel"/>
    <w:tmpl w:val="2E1A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B2406"/>
    <w:multiLevelType w:val="hybridMultilevel"/>
    <w:tmpl w:val="81BC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9C42E4"/>
    <w:multiLevelType w:val="hybridMultilevel"/>
    <w:tmpl w:val="BFF8088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15:restartNumberingAfterBreak="0">
    <w:nsid w:val="382C3056"/>
    <w:multiLevelType w:val="hybridMultilevel"/>
    <w:tmpl w:val="0DF03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C02C33"/>
    <w:multiLevelType w:val="hybridMultilevel"/>
    <w:tmpl w:val="2D964E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0152DB"/>
    <w:multiLevelType w:val="hybridMultilevel"/>
    <w:tmpl w:val="AF68DC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A76642D"/>
    <w:multiLevelType w:val="hybridMultilevel"/>
    <w:tmpl w:val="FF006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583177"/>
    <w:multiLevelType w:val="hybridMultilevel"/>
    <w:tmpl w:val="7B168798"/>
    <w:lvl w:ilvl="0" w:tplc="A86E2A34">
      <w:start w:val="1"/>
      <w:numFmt w:val="upperRoman"/>
      <w:lvlText w:val="%1."/>
      <w:lvlJc w:val="left"/>
      <w:pPr>
        <w:ind w:left="288" w:hanging="720"/>
      </w:pPr>
      <w:rPr>
        <w:rFonts w:hint="default"/>
      </w:rPr>
    </w:lvl>
    <w:lvl w:ilvl="1" w:tplc="507049E2">
      <w:start w:val="1"/>
      <w:numFmt w:val="lowerLetter"/>
      <w:lvlText w:val="%2)"/>
      <w:lvlJc w:val="left"/>
      <w:pPr>
        <w:ind w:left="648" w:hanging="360"/>
      </w:pPr>
      <w:rPr>
        <w:rFonts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1" w15:restartNumberingAfterBreak="0">
    <w:nsid w:val="5D595E59"/>
    <w:multiLevelType w:val="hybridMultilevel"/>
    <w:tmpl w:val="32009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8431EE"/>
    <w:multiLevelType w:val="hybridMultilevel"/>
    <w:tmpl w:val="9A6C8D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511FAE"/>
    <w:multiLevelType w:val="hybridMultilevel"/>
    <w:tmpl w:val="0298F9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187BB8"/>
    <w:multiLevelType w:val="hybridMultilevel"/>
    <w:tmpl w:val="38AEBD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76060C"/>
    <w:multiLevelType w:val="hybridMultilevel"/>
    <w:tmpl w:val="348AE3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C13ABF"/>
    <w:multiLevelType w:val="hybridMultilevel"/>
    <w:tmpl w:val="CA5476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462CF"/>
    <w:multiLevelType w:val="hybridMultilevel"/>
    <w:tmpl w:val="EE443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72652"/>
    <w:multiLevelType w:val="hybridMultilevel"/>
    <w:tmpl w:val="C13A7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7139B6"/>
    <w:multiLevelType w:val="hybridMultilevel"/>
    <w:tmpl w:val="7E761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F5DF8"/>
    <w:multiLevelType w:val="hybridMultilevel"/>
    <w:tmpl w:val="9A8460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752A91"/>
    <w:multiLevelType w:val="hybridMultilevel"/>
    <w:tmpl w:val="631CB67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AC653BE"/>
    <w:multiLevelType w:val="hybridMultilevel"/>
    <w:tmpl w:val="6712A044"/>
    <w:lvl w:ilvl="0" w:tplc="080A000B">
      <w:start w:val="1"/>
      <w:numFmt w:val="bullet"/>
      <w:lvlText w:val=""/>
      <w:lvlJc w:val="left"/>
      <w:pPr>
        <w:tabs>
          <w:tab w:val="num" w:pos="720"/>
        </w:tabs>
        <w:ind w:left="720" w:hanging="360"/>
      </w:pPr>
      <w:rPr>
        <w:rFonts w:ascii="Wingdings" w:hAnsi="Wingdings" w:hint="default"/>
      </w:rPr>
    </w:lvl>
    <w:lvl w:ilvl="1" w:tplc="12549B7E" w:tentative="1">
      <w:start w:val="1"/>
      <w:numFmt w:val="bullet"/>
      <w:lvlText w:val=""/>
      <w:lvlJc w:val="left"/>
      <w:pPr>
        <w:tabs>
          <w:tab w:val="num" w:pos="1440"/>
        </w:tabs>
        <w:ind w:left="1440" w:hanging="360"/>
      </w:pPr>
      <w:rPr>
        <w:rFonts w:ascii="Symbol" w:hAnsi="Symbol" w:hint="default"/>
      </w:rPr>
    </w:lvl>
    <w:lvl w:ilvl="2" w:tplc="B45239E2" w:tentative="1">
      <w:start w:val="1"/>
      <w:numFmt w:val="bullet"/>
      <w:lvlText w:val=""/>
      <w:lvlJc w:val="left"/>
      <w:pPr>
        <w:tabs>
          <w:tab w:val="num" w:pos="2160"/>
        </w:tabs>
        <w:ind w:left="2160" w:hanging="360"/>
      </w:pPr>
      <w:rPr>
        <w:rFonts w:ascii="Symbol" w:hAnsi="Symbol" w:hint="default"/>
      </w:rPr>
    </w:lvl>
    <w:lvl w:ilvl="3" w:tplc="FA0C630A" w:tentative="1">
      <w:start w:val="1"/>
      <w:numFmt w:val="bullet"/>
      <w:lvlText w:val=""/>
      <w:lvlJc w:val="left"/>
      <w:pPr>
        <w:tabs>
          <w:tab w:val="num" w:pos="2880"/>
        </w:tabs>
        <w:ind w:left="2880" w:hanging="360"/>
      </w:pPr>
      <w:rPr>
        <w:rFonts w:ascii="Symbol" w:hAnsi="Symbol" w:hint="default"/>
      </w:rPr>
    </w:lvl>
    <w:lvl w:ilvl="4" w:tplc="F81E49E6" w:tentative="1">
      <w:start w:val="1"/>
      <w:numFmt w:val="bullet"/>
      <w:lvlText w:val=""/>
      <w:lvlJc w:val="left"/>
      <w:pPr>
        <w:tabs>
          <w:tab w:val="num" w:pos="3600"/>
        </w:tabs>
        <w:ind w:left="3600" w:hanging="360"/>
      </w:pPr>
      <w:rPr>
        <w:rFonts w:ascii="Symbol" w:hAnsi="Symbol" w:hint="default"/>
      </w:rPr>
    </w:lvl>
    <w:lvl w:ilvl="5" w:tplc="66646D80" w:tentative="1">
      <w:start w:val="1"/>
      <w:numFmt w:val="bullet"/>
      <w:lvlText w:val=""/>
      <w:lvlJc w:val="left"/>
      <w:pPr>
        <w:tabs>
          <w:tab w:val="num" w:pos="4320"/>
        </w:tabs>
        <w:ind w:left="4320" w:hanging="360"/>
      </w:pPr>
      <w:rPr>
        <w:rFonts w:ascii="Symbol" w:hAnsi="Symbol" w:hint="default"/>
      </w:rPr>
    </w:lvl>
    <w:lvl w:ilvl="6" w:tplc="28687AD8" w:tentative="1">
      <w:start w:val="1"/>
      <w:numFmt w:val="bullet"/>
      <w:lvlText w:val=""/>
      <w:lvlJc w:val="left"/>
      <w:pPr>
        <w:tabs>
          <w:tab w:val="num" w:pos="5040"/>
        </w:tabs>
        <w:ind w:left="5040" w:hanging="360"/>
      </w:pPr>
      <w:rPr>
        <w:rFonts w:ascii="Symbol" w:hAnsi="Symbol" w:hint="default"/>
      </w:rPr>
    </w:lvl>
    <w:lvl w:ilvl="7" w:tplc="47143C10" w:tentative="1">
      <w:start w:val="1"/>
      <w:numFmt w:val="bullet"/>
      <w:lvlText w:val=""/>
      <w:lvlJc w:val="left"/>
      <w:pPr>
        <w:tabs>
          <w:tab w:val="num" w:pos="5760"/>
        </w:tabs>
        <w:ind w:left="5760" w:hanging="360"/>
      </w:pPr>
      <w:rPr>
        <w:rFonts w:ascii="Symbol" w:hAnsi="Symbol" w:hint="default"/>
      </w:rPr>
    </w:lvl>
    <w:lvl w:ilvl="8" w:tplc="B8727798"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731A6A"/>
    <w:multiLevelType w:val="hybridMultilevel"/>
    <w:tmpl w:val="4558CE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C81EA6"/>
    <w:multiLevelType w:val="hybridMultilevel"/>
    <w:tmpl w:val="FEAA59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43"/>
  </w:num>
  <w:num w:numId="4">
    <w:abstractNumId w:val="6"/>
  </w:num>
  <w:num w:numId="5">
    <w:abstractNumId w:val="2"/>
  </w:num>
  <w:num w:numId="6">
    <w:abstractNumId w:val="0"/>
  </w:num>
  <w:num w:numId="7">
    <w:abstractNumId w:val="29"/>
  </w:num>
  <w:num w:numId="8">
    <w:abstractNumId w:val="1"/>
  </w:num>
  <w:num w:numId="9">
    <w:abstractNumId w:val="20"/>
  </w:num>
  <w:num w:numId="10">
    <w:abstractNumId w:val="26"/>
  </w:num>
  <w:num w:numId="11">
    <w:abstractNumId w:val="10"/>
  </w:num>
  <w:num w:numId="12">
    <w:abstractNumId w:val="12"/>
  </w:num>
  <w:num w:numId="13">
    <w:abstractNumId w:val="31"/>
  </w:num>
  <w:num w:numId="14">
    <w:abstractNumId w:val="24"/>
  </w:num>
  <w:num w:numId="15">
    <w:abstractNumId w:val="39"/>
  </w:num>
  <w:num w:numId="16">
    <w:abstractNumId w:val="18"/>
  </w:num>
  <w:num w:numId="17">
    <w:abstractNumId w:val="13"/>
  </w:num>
  <w:num w:numId="18">
    <w:abstractNumId w:val="37"/>
  </w:num>
  <w:num w:numId="19">
    <w:abstractNumId w:val="19"/>
  </w:num>
  <w:num w:numId="20">
    <w:abstractNumId w:val="9"/>
  </w:num>
  <w:num w:numId="21">
    <w:abstractNumId w:val="33"/>
  </w:num>
  <w:num w:numId="22">
    <w:abstractNumId w:val="17"/>
  </w:num>
  <w:num w:numId="23">
    <w:abstractNumId w:val="8"/>
  </w:num>
  <w:num w:numId="24">
    <w:abstractNumId w:val="4"/>
  </w:num>
  <w:num w:numId="25">
    <w:abstractNumId w:val="16"/>
  </w:num>
  <w:num w:numId="26">
    <w:abstractNumId w:val="27"/>
  </w:num>
  <w:num w:numId="27">
    <w:abstractNumId w:val="22"/>
  </w:num>
  <w:num w:numId="28">
    <w:abstractNumId w:val="23"/>
  </w:num>
  <w:num w:numId="29">
    <w:abstractNumId w:val="7"/>
  </w:num>
  <w:num w:numId="30">
    <w:abstractNumId w:val="30"/>
  </w:num>
  <w:num w:numId="31">
    <w:abstractNumId w:val="28"/>
  </w:num>
  <w:num w:numId="32">
    <w:abstractNumId w:val="5"/>
  </w:num>
  <w:num w:numId="33">
    <w:abstractNumId w:val="38"/>
  </w:num>
  <w:num w:numId="34">
    <w:abstractNumId w:val="21"/>
  </w:num>
  <w:num w:numId="35">
    <w:abstractNumId w:val="40"/>
  </w:num>
  <w:num w:numId="36">
    <w:abstractNumId w:val="11"/>
  </w:num>
  <w:num w:numId="37">
    <w:abstractNumId w:val="42"/>
  </w:num>
  <w:num w:numId="38">
    <w:abstractNumId w:val="41"/>
  </w:num>
  <w:num w:numId="39">
    <w:abstractNumId w:val="14"/>
  </w:num>
  <w:num w:numId="40">
    <w:abstractNumId w:val="34"/>
  </w:num>
  <w:num w:numId="41">
    <w:abstractNumId w:val="25"/>
  </w:num>
  <w:num w:numId="42">
    <w:abstractNumId w:val="15"/>
  </w:num>
  <w:num w:numId="43">
    <w:abstractNumId w:val="32"/>
  </w:num>
  <w:num w:numId="44">
    <w:abstractNumId w:val="44"/>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43219&amp;fecha=18/02/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f.gob.mx/nota_detalle.php?codigo=5643977&amp;fecha=28/02/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43833&amp;fecha=25/02/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f.gob.mx/nota_detalle.php?codigo=5643832&amp;fecha=25/02/202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82EC-FF6A-4E82-827B-CB235D85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5</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63</cp:revision>
  <cp:lastPrinted>2021-01-29T22:36:00Z</cp:lastPrinted>
  <dcterms:created xsi:type="dcterms:W3CDTF">2019-01-03T20:20:00Z</dcterms:created>
  <dcterms:modified xsi:type="dcterms:W3CDTF">2022-03-03T14:33:00Z</dcterms:modified>
</cp:coreProperties>
</file>