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7633D564"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9C15EF">
        <w:rPr>
          <w:rFonts w:ascii="HelveticaNeueLT Std" w:hAnsi="HelveticaNeueLT Std" w:cs="Arial"/>
          <w:b/>
          <w:bCs/>
          <w:sz w:val="20"/>
          <w:szCs w:val="20"/>
        </w:rPr>
        <w:t>febrero</w:t>
      </w:r>
      <w:r w:rsidR="00860756" w:rsidRPr="000D4D13">
        <w:rPr>
          <w:rFonts w:ascii="HelveticaNeueLT Std" w:hAnsi="HelveticaNeueLT Std" w:cs="Arial"/>
          <w:b/>
          <w:bCs/>
          <w:sz w:val="20"/>
          <w:szCs w:val="20"/>
        </w:rPr>
        <w:t xml:space="preserve">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DD7C82">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DD7C82">
        <w:trPr>
          <w:trHeight w:val="277"/>
        </w:trPr>
        <w:tc>
          <w:tcPr>
            <w:tcW w:w="617" w:type="dxa"/>
            <w:tcBorders>
              <w:top w:val="single" w:sz="4" w:space="0" w:color="auto"/>
              <w:bottom w:val="single" w:sz="4" w:space="0" w:color="auto"/>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2AD484D7" w:rsidR="009A45CF" w:rsidRPr="000D4D13" w:rsidRDefault="009F2391" w:rsidP="009A45C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10</w:t>
            </w:r>
          </w:p>
        </w:tc>
        <w:tc>
          <w:tcPr>
            <w:tcW w:w="2127" w:type="dxa"/>
            <w:tcBorders>
              <w:top w:val="single" w:sz="4" w:space="0" w:color="auto"/>
              <w:bottom w:val="single" w:sz="4" w:space="0" w:color="auto"/>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3F07528D" w:rsidR="009A45CF" w:rsidRPr="00B80921" w:rsidRDefault="009F239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09-marzo</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4D0AFB">
              <w:rPr>
                <w:rFonts w:ascii="HelveticaNeueLT Std" w:eastAsia="MS Mincho" w:hAnsi="HelveticaNeueLT Std"/>
                <w:bCs/>
                <w:sz w:val="20"/>
                <w:szCs w:val="20"/>
                <w:lang w:eastAsia="en-US"/>
              </w:rPr>
              <w:t>1</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65B382DA" w14:textId="4A657A16"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4A5612F6" w:rsidR="009A45CF" w:rsidRPr="00B80921" w:rsidRDefault="003B79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00B80921" w:rsidRPr="00B80921">
              <w:rPr>
                <w:rFonts w:ascii="HelveticaNeueLT Std" w:eastAsia="MS Mincho" w:hAnsi="HelveticaNeueLT Std"/>
                <w:bCs/>
                <w:sz w:val="20"/>
                <w:szCs w:val="20"/>
                <w:lang w:eastAsia="en-US"/>
              </w:rPr>
              <w:t xml:space="preserve"> </w:t>
            </w:r>
            <w:r w:rsidR="009A45CF"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p w14:paraId="482F86A1" w14:textId="77777777" w:rsidR="009F2391" w:rsidRDefault="009F2391"/>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9F2391" w14:paraId="2ABCE0F4" w14:textId="77777777" w:rsidTr="009F2391">
              <w:trPr>
                <w:tblCellSpacing w:w="0" w:type="dxa"/>
              </w:trPr>
              <w:tc>
                <w:tcPr>
                  <w:tcW w:w="2817" w:type="dxa"/>
                  <w:shd w:val="clear" w:color="auto" w:fill="FFFFFF"/>
                  <w:vAlign w:val="center"/>
                  <w:hideMark/>
                </w:tcPr>
                <w:p w14:paraId="2CDACAD9" w14:textId="77777777" w:rsidR="009F2391" w:rsidRDefault="009C053E" w:rsidP="009F2391">
                  <w:pPr>
                    <w:jc w:val="both"/>
                    <w:rPr>
                      <w:rFonts w:ascii="Arial" w:hAnsi="Arial" w:cs="Arial"/>
                      <w:color w:val="2F2F2F"/>
                      <w:sz w:val="22"/>
                      <w:szCs w:val="22"/>
                      <w:lang w:eastAsia="es-MX"/>
                    </w:rPr>
                  </w:pPr>
                  <w:hyperlink r:id="rId8" w:history="1">
                    <w:r w:rsidR="009F2391" w:rsidRPr="009F2391">
                      <w:rPr>
                        <w:rFonts w:ascii="HelveticaNeueLT Std" w:hAnsi="HelveticaNeueLT Std"/>
                        <w:b/>
                        <w:bCs/>
                        <w:sz w:val="20"/>
                        <w:szCs w:val="20"/>
                      </w:rPr>
                      <w:t>Segunda Resolución de Modificaciones a la Resolución Miscelánea Fiscal para 2022 y sus Anexos 1-A, 23, 30, 31 y 32.</w:t>
                    </w:r>
                  </w:hyperlink>
                </w:p>
              </w:tc>
              <w:tc>
                <w:tcPr>
                  <w:tcW w:w="20" w:type="dxa"/>
                  <w:shd w:val="clear" w:color="auto" w:fill="FFFFFF"/>
                  <w:vAlign w:val="center"/>
                  <w:hideMark/>
                </w:tcPr>
                <w:p w14:paraId="60A4BB93" w14:textId="77777777" w:rsidR="009F2391" w:rsidRDefault="009F2391" w:rsidP="009F2391">
                  <w:pPr>
                    <w:rPr>
                      <w:rFonts w:ascii="Arial" w:hAnsi="Arial" w:cs="Arial"/>
                      <w:color w:val="2F2F2F"/>
                      <w:sz w:val="22"/>
                      <w:szCs w:val="22"/>
                    </w:rPr>
                  </w:pPr>
                </w:p>
              </w:tc>
            </w:tr>
            <w:tr w:rsidR="009F2391" w14:paraId="19219A08" w14:textId="77777777" w:rsidTr="009F2391">
              <w:trPr>
                <w:trHeight w:val="180"/>
                <w:tblCellSpacing w:w="0" w:type="dxa"/>
              </w:trPr>
              <w:tc>
                <w:tcPr>
                  <w:tcW w:w="2817" w:type="dxa"/>
                  <w:shd w:val="clear" w:color="auto" w:fill="FFFFFF"/>
                  <w:hideMark/>
                </w:tcPr>
                <w:p w14:paraId="2B0EAF5B" w14:textId="459BEFA6" w:rsidR="009F2391" w:rsidRDefault="009F2391" w:rsidP="009F2391">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6D9FF72F" wp14:editId="12A456A0">
                        <wp:extent cx="95250" cy="11684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6840"/>
                                </a:xfrm>
                                <a:prstGeom prst="rect">
                                  <a:avLst/>
                                </a:prstGeom>
                                <a:noFill/>
                                <a:ln>
                                  <a:noFill/>
                                </a:ln>
                              </pic:spPr>
                            </pic:pic>
                          </a:graphicData>
                        </a:graphic>
                      </wp:inline>
                    </w:drawing>
                  </w:r>
                </w:p>
              </w:tc>
              <w:tc>
                <w:tcPr>
                  <w:tcW w:w="20" w:type="dxa"/>
                  <w:shd w:val="clear" w:color="auto" w:fill="FFFFFF"/>
                  <w:vAlign w:val="center"/>
                  <w:hideMark/>
                </w:tcPr>
                <w:p w14:paraId="6D6A112B" w14:textId="77777777" w:rsidR="009F2391" w:rsidRDefault="009F2391" w:rsidP="009F2391">
                  <w:pPr>
                    <w:rPr>
                      <w:sz w:val="20"/>
                      <w:szCs w:val="20"/>
                    </w:rPr>
                  </w:pPr>
                </w:p>
              </w:tc>
            </w:tr>
          </w:tbl>
          <w:p w14:paraId="206512B6" w14:textId="0B1B455C" w:rsidR="009A45CF" w:rsidRPr="00DD7C82" w:rsidRDefault="009A45CF" w:rsidP="00DD7C82">
            <w:pPr>
              <w:spacing w:line="276" w:lineRule="auto"/>
              <w:jc w:val="both"/>
              <w:rPr>
                <w:rFonts w:ascii="HelveticaNeueLT Std" w:hAnsi="HelveticaNeueLT Std" w:cs="Arial"/>
                <w:b/>
                <w:bCs/>
                <w:sz w:val="20"/>
                <w:szCs w:val="20"/>
              </w:rPr>
            </w:pPr>
          </w:p>
        </w:tc>
        <w:tc>
          <w:tcPr>
            <w:tcW w:w="5812" w:type="dxa"/>
          </w:tcPr>
          <w:p w14:paraId="625EF0F4" w14:textId="77777777" w:rsidR="00652F43" w:rsidRPr="009F2391" w:rsidRDefault="00652F43" w:rsidP="009F2391">
            <w:pPr>
              <w:pStyle w:val="Texto"/>
              <w:spacing w:line="233" w:lineRule="exact"/>
              <w:rPr>
                <w:rFonts w:ascii="HelveticaNeueLT Std Lt" w:hAnsi="HelveticaNeueLT Std Lt"/>
                <w:sz w:val="20"/>
                <w:lang w:val="es-MX" w:eastAsia="es-MX"/>
              </w:rPr>
            </w:pPr>
          </w:p>
          <w:p w14:paraId="70DD3623" w14:textId="77777777" w:rsidR="009F2391" w:rsidRDefault="009F2391" w:rsidP="009F2391">
            <w:pPr>
              <w:pStyle w:val="Texto"/>
              <w:spacing w:line="233" w:lineRule="exact"/>
              <w:ind w:firstLine="0"/>
              <w:rPr>
                <w:rFonts w:ascii="HelveticaNeueLT Std Lt" w:hAnsi="HelveticaNeueLT Std Lt"/>
                <w:sz w:val="20"/>
                <w:lang w:val="es-MX" w:eastAsia="es-MX"/>
              </w:rPr>
            </w:pPr>
            <w:r w:rsidRPr="009F2391">
              <w:rPr>
                <w:rFonts w:ascii="HelveticaNeueLT Std Lt" w:hAnsi="HelveticaNeueLT Std Lt"/>
                <w:sz w:val="20"/>
                <w:lang w:val="es-MX" w:eastAsia="es-MX"/>
              </w:rPr>
              <w:t xml:space="preserve">A través del presente acuerdo se establece Se reforman las reglas 2.6.1.4., fracción VI; 2.6.1.6.; 2.7.1.35., fracción II; 3.13.1.; 5.2.6., fracción II, inciso j) y 13.1., y se adicionan las reglas 2.5.25.; 2.6.1.4., segundo párrafo; 3.9.18., segundo párrafo; 3.13.31.; 3.13.32. y 5.2.30., quinto párrafo, de la Resolución Miscelánea Fiscal para 2022, </w:t>
            </w:r>
            <w:r>
              <w:rPr>
                <w:rFonts w:ascii="HelveticaNeueLT Std Lt" w:hAnsi="HelveticaNeueLT Std Lt"/>
                <w:sz w:val="20"/>
                <w:lang w:val="es-MX" w:eastAsia="es-MX"/>
              </w:rPr>
              <w:t xml:space="preserve">en los siguientes puntos: </w:t>
            </w:r>
          </w:p>
          <w:p w14:paraId="21364576" w14:textId="77777777" w:rsidR="009F2391" w:rsidRPr="009F2391"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9F2391">
              <w:rPr>
                <w:rFonts w:ascii="HelveticaNeueLT Std Lt" w:eastAsia="Times New Roman" w:hAnsi="HelveticaNeueLT Std Lt" w:cs="Arial"/>
                <w:sz w:val="20"/>
                <w:szCs w:val="20"/>
                <w:lang w:eastAsia="es-MX"/>
              </w:rPr>
              <w:t xml:space="preserve">Revisión de requisitos para la presentación del aviso de cancelación en el </w:t>
            </w:r>
            <w:proofErr w:type="spellStart"/>
            <w:r w:rsidRPr="009F2391">
              <w:rPr>
                <w:rFonts w:ascii="HelveticaNeueLT Std Lt" w:eastAsia="Times New Roman" w:hAnsi="HelveticaNeueLT Std Lt" w:cs="Arial"/>
                <w:sz w:val="20"/>
                <w:szCs w:val="20"/>
                <w:lang w:eastAsia="es-MX"/>
              </w:rPr>
              <w:t>RFC</w:t>
            </w:r>
            <w:proofErr w:type="spellEnd"/>
            <w:r w:rsidRPr="009F2391">
              <w:rPr>
                <w:rFonts w:ascii="HelveticaNeueLT Std Lt" w:eastAsia="Times New Roman" w:hAnsi="HelveticaNeueLT Std Lt" w:cs="Arial"/>
                <w:sz w:val="20"/>
                <w:szCs w:val="20"/>
                <w:lang w:eastAsia="es-MX"/>
              </w:rPr>
              <w:t xml:space="preserve"> por fusión de sociedades</w:t>
            </w:r>
          </w:p>
          <w:p w14:paraId="3A138E8B" w14:textId="77777777" w:rsidR="009F2391" w:rsidRPr="009F2391"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9F2391">
              <w:rPr>
                <w:rFonts w:ascii="HelveticaNeueLT Std Lt" w:eastAsia="Times New Roman" w:hAnsi="HelveticaNeueLT Std Lt" w:cs="Arial"/>
                <w:sz w:val="20"/>
                <w:szCs w:val="20"/>
                <w:lang w:eastAsia="es-MX"/>
              </w:rPr>
              <w:t>Requerimientos para llevar controles volumétricos de hidrocarburos y petrolíferos</w:t>
            </w:r>
          </w:p>
          <w:p w14:paraId="1B5039B3" w14:textId="77777777" w:rsidR="009F2391" w:rsidRPr="009F2391"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9F2391">
              <w:rPr>
                <w:rFonts w:ascii="HelveticaNeueLT Std Lt" w:eastAsia="Times New Roman" w:hAnsi="HelveticaNeueLT Std Lt" w:cs="Arial"/>
                <w:sz w:val="20"/>
                <w:szCs w:val="20"/>
                <w:lang w:eastAsia="es-MX"/>
              </w:rPr>
              <w:t>Dictámenes que determinen el tipo de hidrocarburo o petrolífero de que se trate, el poder calorífico del gas natural y el octanaje en el caso de gasolina</w:t>
            </w:r>
          </w:p>
          <w:p w14:paraId="6FC23B47" w14:textId="77777777" w:rsidR="009F2391" w:rsidRPr="009F2391"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9F2391">
              <w:rPr>
                <w:rFonts w:ascii="HelveticaNeueLT Std Lt" w:eastAsia="Times New Roman" w:hAnsi="HelveticaNeueLT Std Lt" w:cs="Arial"/>
                <w:sz w:val="20"/>
                <w:szCs w:val="20"/>
                <w:lang w:eastAsia="es-MX"/>
              </w:rPr>
              <w:t xml:space="preserve">Cancelación de </w:t>
            </w:r>
            <w:proofErr w:type="spellStart"/>
            <w:r w:rsidRPr="009F2391">
              <w:rPr>
                <w:rFonts w:ascii="HelveticaNeueLT Std Lt" w:eastAsia="Times New Roman" w:hAnsi="HelveticaNeueLT Std Lt" w:cs="Arial"/>
                <w:sz w:val="20"/>
                <w:szCs w:val="20"/>
                <w:lang w:eastAsia="es-MX"/>
              </w:rPr>
              <w:t>CFDI</w:t>
            </w:r>
            <w:proofErr w:type="spellEnd"/>
            <w:r w:rsidRPr="009F2391">
              <w:rPr>
                <w:rFonts w:ascii="HelveticaNeueLT Std Lt" w:eastAsia="Times New Roman" w:hAnsi="HelveticaNeueLT Std Lt" w:cs="Arial"/>
                <w:sz w:val="20"/>
                <w:szCs w:val="20"/>
                <w:lang w:eastAsia="es-MX"/>
              </w:rPr>
              <w:t xml:space="preserve"> sin aceptación del receptor</w:t>
            </w:r>
          </w:p>
          <w:p w14:paraId="0968F5ED" w14:textId="77777777" w:rsidR="009F2391" w:rsidRPr="009F2391"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9F2391">
              <w:rPr>
                <w:rFonts w:ascii="HelveticaNeueLT Std Lt" w:eastAsia="Times New Roman" w:hAnsi="HelveticaNeueLT Std Lt" w:cs="Arial"/>
                <w:sz w:val="20"/>
                <w:szCs w:val="20"/>
                <w:lang w:eastAsia="es-MX"/>
              </w:rPr>
              <w:t>Aviso de enajenación de acciones llevadas a cabo entre residentes en el extranjero</w:t>
            </w:r>
          </w:p>
          <w:p w14:paraId="1AAF4491" w14:textId="77777777" w:rsidR="009F2391" w:rsidRPr="009F2391"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9F2391">
              <w:rPr>
                <w:rFonts w:ascii="HelveticaNeueLT Std Lt" w:eastAsia="Times New Roman" w:hAnsi="HelveticaNeueLT Std Lt" w:cs="Arial"/>
                <w:sz w:val="20"/>
                <w:szCs w:val="20"/>
                <w:lang w:eastAsia="es-MX"/>
              </w:rPr>
              <w:t xml:space="preserve">Opción para presentar el aviso de inscripción en el </w:t>
            </w:r>
            <w:proofErr w:type="spellStart"/>
            <w:r w:rsidRPr="009F2391">
              <w:rPr>
                <w:rFonts w:ascii="HelveticaNeueLT Std Lt" w:eastAsia="Times New Roman" w:hAnsi="HelveticaNeueLT Std Lt" w:cs="Arial"/>
                <w:sz w:val="20"/>
                <w:szCs w:val="20"/>
                <w:lang w:eastAsia="es-MX"/>
              </w:rPr>
              <w:t>RFC</w:t>
            </w:r>
            <w:proofErr w:type="spellEnd"/>
            <w:r w:rsidRPr="009F2391">
              <w:rPr>
                <w:rFonts w:ascii="HelveticaNeueLT Std Lt" w:eastAsia="Times New Roman" w:hAnsi="HelveticaNeueLT Std Lt" w:cs="Arial"/>
                <w:sz w:val="20"/>
                <w:szCs w:val="20"/>
                <w:lang w:eastAsia="es-MX"/>
              </w:rPr>
              <w:t xml:space="preserve"> en el Régimen Simplificado de Confianza</w:t>
            </w:r>
          </w:p>
          <w:p w14:paraId="50E61C62" w14:textId="77777777" w:rsidR="009F2391" w:rsidRPr="009F2391"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9F2391">
              <w:rPr>
                <w:rFonts w:ascii="HelveticaNeueLT Std Lt" w:eastAsia="Times New Roman" w:hAnsi="HelveticaNeueLT Std Lt" w:cs="Arial"/>
                <w:sz w:val="20"/>
                <w:szCs w:val="20"/>
                <w:lang w:eastAsia="es-MX"/>
              </w:rPr>
              <w:t>Obtención de ingresos por pensiones y jubilaciones para tributar en el Régimen Simplificado de Confianza</w:t>
            </w:r>
          </w:p>
          <w:p w14:paraId="26DBADCD" w14:textId="77777777" w:rsidR="009F2391" w:rsidRPr="009F2391"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9F2391">
              <w:rPr>
                <w:rFonts w:ascii="HelveticaNeueLT Std Lt" w:eastAsia="Times New Roman" w:hAnsi="HelveticaNeueLT Std Lt" w:cs="Arial"/>
                <w:sz w:val="20"/>
                <w:szCs w:val="20"/>
                <w:lang w:eastAsia="es-MX"/>
              </w:rPr>
              <w:t>Exención para presentar las declaraciones mensuales y la anual para las personas físicas que se dediquen exclusivamente a las actividades agrícolas, ganaderas, silvícolas o pesqueras con ingresos exentos</w:t>
            </w:r>
          </w:p>
          <w:p w14:paraId="54A74EEA" w14:textId="77777777" w:rsidR="009F2391" w:rsidRPr="009F2391"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9F2391">
              <w:rPr>
                <w:rFonts w:ascii="HelveticaNeueLT Std Lt" w:eastAsia="Times New Roman" w:hAnsi="HelveticaNeueLT Std Lt" w:cs="Arial"/>
                <w:sz w:val="20"/>
                <w:szCs w:val="20"/>
                <w:lang w:eastAsia="es-MX"/>
              </w:rPr>
              <w:t>Características de seguridad de los marbetes y precintos</w:t>
            </w:r>
          </w:p>
          <w:p w14:paraId="318B3EC0" w14:textId="77777777" w:rsidR="009F2391" w:rsidRPr="009F2391"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9F2391">
              <w:rPr>
                <w:rFonts w:ascii="HelveticaNeueLT Std Lt" w:eastAsia="Times New Roman" w:hAnsi="HelveticaNeueLT Std Lt" w:cs="Arial"/>
                <w:sz w:val="20"/>
                <w:szCs w:val="20"/>
                <w:lang w:eastAsia="es-MX"/>
              </w:rPr>
              <w:t>Solicitud de códigos de seguridad para impresión</w:t>
            </w:r>
          </w:p>
          <w:p w14:paraId="608BA1DD" w14:textId="3C293E66" w:rsidR="009F2391" w:rsidRPr="009F2391" w:rsidRDefault="009F2391" w:rsidP="00FB0712">
            <w:pPr>
              <w:pStyle w:val="Prrafodelista"/>
              <w:numPr>
                <w:ilvl w:val="0"/>
                <w:numId w:val="1"/>
              </w:numPr>
              <w:jc w:val="both"/>
              <w:rPr>
                <w:rFonts w:ascii="HelveticaNeueLT Std Lt" w:hAnsi="HelveticaNeueLT Std Lt"/>
                <w:sz w:val="20"/>
                <w:lang w:eastAsia="es-MX"/>
              </w:rPr>
            </w:pPr>
            <w:r w:rsidRPr="009F2391">
              <w:rPr>
                <w:rFonts w:ascii="HelveticaNeueLT Std Lt" w:eastAsia="Times New Roman" w:hAnsi="HelveticaNeueLT Std Lt" w:cs="Arial"/>
                <w:sz w:val="20"/>
                <w:szCs w:val="20"/>
                <w:lang w:eastAsia="es-MX"/>
              </w:rPr>
              <w:t>Declaración de pago de los derechos por la utilidad compartida y de extracción de hidrocarburos</w:t>
            </w:r>
            <w:r>
              <w:rPr>
                <w:rFonts w:ascii="HelveticaNeueLT Std Lt" w:eastAsia="Times New Roman" w:hAnsi="HelveticaNeueLT Std Lt" w:cs="Arial"/>
                <w:sz w:val="20"/>
                <w:szCs w:val="20"/>
                <w:lang w:eastAsia="es-MX"/>
              </w:rPr>
              <w:t xml:space="preserve">. </w:t>
            </w:r>
          </w:p>
        </w:tc>
      </w:tr>
      <w:tr w:rsidR="009F2391" w:rsidRPr="000D4D13" w14:paraId="3E077FEB" w14:textId="77777777" w:rsidTr="00544315">
        <w:trPr>
          <w:trHeight w:val="277"/>
        </w:trPr>
        <w:tc>
          <w:tcPr>
            <w:tcW w:w="617" w:type="dxa"/>
            <w:tcBorders>
              <w:top w:val="single" w:sz="4" w:space="0" w:color="auto"/>
              <w:bottom w:val="single" w:sz="4" w:space="0" w:color="auto"/>
            </w:tcBorders>
          </w:tcPr>
          <w:p w14:paraId="43BDC3DD" w14:textId="77777777" w:rsidR="009F2391" w:rsidRPr="000D4D13" w:rsidRDefault="009F2391"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620FBFE9" w14:textId="77777777" w:rsidR="009F2391" w:rsidRPr="00B80921" w:rsidRDefault="009F239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single" w:sz="4" w:space="0" w:color="auto"/>
            </w:tcBorders>
          </w:tcPr>
          <w:p w14:paraId="11424A8E" w14:textId="77777777" w:rsidR="009F2391" w:rsidRPr="00B80921" w:rsidRDefault="009F239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3732D532" w14:textId="77777777" w:rsidR="009F2391" w:rsidRDefault="009F2391"/>
        </w:tc>
        <w:tc>
          <w:tcPr>
            <w:tcW w:w="5812" w:type="dxa"/>
            <w:tcBorders>
              <w:bottom w:val="single" w:sz="4" w:space="0" w:color="auto"/>
            </w:tcBorders>
          </w:tcPr>
          <w:p w14:paraId="75AD5CF1" w14:textId="77777777" w:rsidR="009F2391" w:rsidRPr="00506EF0"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De conformidad con lo dispuesto en el artículo 5 de la Ley Federal de los Derechos del Contribuyente, se da a conocer el texto actualizado de las reglas a que se refiere el Resolutivo Primero de la presente Resolución.</w:t>
            </w:r>
          </w:p>
          <w:p w14:paraId="05117CB4"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 xml:space="preserve">Revisión de requisitos para la presentación del aviso de cancelación en el </w:t>
            </w:r>
            <w:proofErr w:type="spellStart"/>
            <w:r w:rsidRPr="00506EF0">
              <w:rPr>
                <w:rFonts w:ascii="HelveticaNeueLT Std Lt" w:eastAsia="Times New Roman" w:hAnsi="HelveticaNeueLT Std Lt" w:cs="Arial"/>
                <w:sz w:val="20"/>
                <w:szCs w:val="20"/>
                <w:lang w:eastAsia="es-MX"/>
              </w:rPr>
              <w:t>RFC</w:t>
            </w:r>
            <w:proofErr w:type="spellEnd"/>
            <w:r w:rsidRPr="00506EF0">
              <w:rPr>
                <w:rFonts w:ascii="HelveticaNeueLT Std Lt" w:eastAsia="Times New Roman" w:hAnsi="HelveticaNeueLT Std Lt" w:cs="Arial"/>
                <w:sz w:val="20"/>
                <w:szCs w:val="20"/>
                <w:lang w:eastAsia="es-MX"/>
              </w:rPr>
              <w:t xml:space="preserve"> por fusión de sociedades</w:t>
            </w:r>
          </w:p>
          <w:p w14:paraId="0AE9BAAB"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Requerimientos para llevar controles volumétricos de hidrocarburos y petrolíferos</w:t>
            </w:r>
          </w:p>
          <w:p w14:paraId="43AAEB37"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Dictámenes que determinen el tipo de hidrocarburo o petrolífero de que se trate, el poder calorífico del gas natural y el octanaje en el caso de gasolina</w:t>
            </w:r>
          </w:p>
          <w:p w14:paraId="0F0E868F"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 xml:space="preserve">Cancelación de </w:t>
            </w:r>
            <w:proofErr w:type="spellStart"/>
            <w:r w:rsidRPr="00506EF0">
              <w:rPr>
                <w:rFonts w:ascii="HelveticaNeueLT Std Lt" w:eastAsia="Times New Roman" w:hAnsi="HelveticaNeueLT Std Lt" w:cs="Arial"/>
                <w:sz w:val="20"/>
                <w:szCs w:val="20"/>
                <w:lang w:eastAsia="es-MX"/>
              </w:rPr>
              <w:t>CFDI</w:t>
            </w:r>
            <w:proofErr w:type="spellEnd"/>
            <w:r w:rsidRPr="00506EF0">
              <w:rPr>
                <w:rFonts w:ascii="HelveticaNeueLT Std Lt" w:eastAsia="Times New Roman" w:hAnsi="HelveticaNeueLT Std Lt" w:cs="Arial"/>
                <w:sz w:val="20"/>
                <w:szCs w:val="20"/>
                <w:lang w:eastAsia="es-MX"/>
              </w:rPr>
              <w:t xml:space="preserve"> sin aceptación del receptor</w:t>
            </w:r>
          </w:p>
          <w:p w14:paraId="3B4CCCCE"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Aviso de enajenación de acciones llevadas a cabo entre residentes en el extranjero</w:t>
            </w:r>
          </w:p>
          <w:p w14:paraId="0C59BECD"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 xml:space="preserve">Opción para presentar el aviso de inscripción en el </w:t>
            </w:r>
            <w:proofErr w:type="spellStart"/>
            <w:r w:rsidRPr="00506EF0">
              <w:rPr>
                <w:rFonts w:ascii="HelveticaNeueLT Std Lt" w:eastAsia="Times New Roman" w:hAnsi="HelveticaNeueLT Std Lt" w:cs="Arial"/>
                <w:sz w:val="20"/>
                <w:szCs w:val="20"/>
                <w:lang w:eastAsia="es-MX"/>
              </w:rPr>
              <w:t>RFC</w:t>
            </w:r>
            <w:proofErr w:type="spellEnd"/>
            <w:r w:rsidRPr="00506EF0">
              <w:rPr>
                <w:rFonts w:ascii="HelveticaNeueLT Std Lt" w:eastAsia="Times New Roman" w:hAnsi="HelveticaNeueLT Std Lt" w:cs="Arial"/>
                <w:sz w:val="20"/>
                <w:szCs w:val="20"/>
                <w:lang w:eastAsia="es-MX"/>
              </w:rPr>
              <w:t xml:space="preserve"> en el Régimen Simplificado de Confianza</w:t>
            </w:r>
          </w:p>
          <w:p w14:paraId="69F96848"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Obtención de ingresos por pensiones y jubilaciones para tributar en el Régimen Simplificado de Confianza</w:t>
            </w:r>
          </w:p>
          <w:p w14:paraId="202279A2"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Exención para presentar las declaraciones mensuales y la anual para las personas físicas que se dediquen exclusivamente a las actividades agrícolas, ganaderas, silvícolas o pesqueras con ingresos exentos</w:t>
            </w:r>
          </w:p>
          <w:p w14:paraId="65A10FC5"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Características de seguridad de los marbetes y precintos</w:t>
            </w:r>
          </w:p>
          <w:p w14:paraId="6EE6E330"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Solicitud de códigos de seguridad para impresión</w:t>
            </w:r>
          </w:p>
          <w:p w14:paraId="2AA6947C" w14:textId="77777777" w:rsidR="009F2391" w:rsidRPr="00506EF0" w:rsidRDefault="009F2391" w:rsidP="00FB0712">
            <w:pPr>
              <w:pStyle w:val="Prrafodelista"/>
              <w:numPr>
                <w:ilvl w:val="1"/>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Declaración de pago de los derechos por la utilidad compartida y de extracción de hidrocarburos</w:t>
            </w:r>
          </w:p>
          <w:p w14:paraId="70391EC9" w14:textId="77777777" w:rsidR="009F2391" w:rsidRPr="00506EF0" w:rsidRDefault="009F2391" w:rsidP="00506EF0">
            <w:pPr>
              <w:jc w:val="both"/>
              <w:rPr>
                <w:rFonts w:ascii="HelveticaNeueLT Std Lt" w:eastAsia="Times New Roman" w:hAnsi="HelveticaNeueLT Std Lt" w:cs="Arial"/>
                <w:sz w:val="20"/>
                <w:szCs w:val="20"/>
                <w:lang w:eastAsia="es-MX"/>
              </w:rPr>
            </w:pPr>
          </w:p>
          <w:p w14:paraId="1E913C4A" w14:textId="08CF2BE9" w:rsidR="009F2391" w:rsidRPr="00506EF0" w:rsidRDefault="009F2391" w:rsidP="00FB0712">
            <w:pPr>
              <w:pStyle w:val="Prrafodelista"/>
              <w:numPr>
                <w:ilvl w:val="0"/>
                <w:numId w:val="1"/>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Se modifican los Anexos 1-A, 30, 31 y 32 de la Resolución Miscelánea Fiscal para 2022, y el Anexo 23 de la Resolución Miscelánea Fiscal para 2020.</w:t>
            </w:r>
          </w:p>
          <w:p w14:paraId="3429AE11" w14:textId="33F8F0C2" w:rsidR="009F2391" w:rsidRPr="009F2391" w:rsidRDefault="009F2391" w:rsidP="00506EF0">
            <w:pPr>
              <w:pStyle w:val="Prrafodelista"/>
              <w:jc w:val="both"/>
              <w:rPr>
                <w:rFonts w:ascii="Arial" w:hAnsi="Arial"/>
                <w:color w:val="000000"/>
                <w:sz w:val="18"/>
                <w:szCs w:val="18"/>
                <w:lang w:val="es-ES" w:eastAsia="es-ES"/>
              </w:rPr>
            </w:pPr>
          </w:p>
        </w:tc>
      </w:tr>
      <w:tr w:rsidR="00506EF0" w:rsidRPr="000D4D13" w14:paraId="38BE0906" w14:textId="77777777" w:rsidTr="00544315">
        <w:trPr>
          <w:trHeight w:val="277"/>
        </w:trPr>
        <w:tc>
          <w:tcPr>
            <w:tcW w:w="617" w:type="dxa"/>
            <w:tcBorders>
              <w:top w:val="single" w:sz="4" w:space="0" w:color="auto"/>
              <w:bottom w:val="nil"/>
            </w:tcBorders>
          </w:tcPr>
          <w:p w14:paraId="2DD33457" w14:textId="77777777" w:rsidR="00506EF0" w:rsidRPr="000D4D13" w:rsidRDefault="00506EF0"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1A8BC2A7" w14:textId="77777777" w:rsidR="00506EF0" w:rsidRPr="00B80921" w:rsidRDefault="00506EF0"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nil"/>
            </w:tcBorders>
          </w:tcPr>
          <w:p w14:paraId="7EB73A5C" w14:textId="77777777" w:rsidR="00506EF0" w:rsidRPr="00B80921" w:rsidRDefault="00506EF0"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nil"/>
            </w:tcBorders>
          </w:tcPr>
          <w:p w14:paraId="5646D661" w14:textId="77777777" w:rsidR="00506EF0" w:rsidRDefault="00506EF0"/>
        </w:tc>
        <w:tc>
          <w:tcPr>
            <w:tcW w:w="5812" w:type="dxa"/>
            <w:tcBorders>
              <w:bottom w:val="nil"/>
            </w:tcBorders>
          </w:tcPr>
          <w:p w14:paraId="575B13F2" w14:textId="68291646" w:rsidR="00506EF0" w:rsidRDefault="00506EF0" w:rsidP="00FB0712">
            <w:pPr>
              <w:pStyle w:val="Prrafodelista"/>
              <w:numPr>
                <w:ilvl w:val="0"/>
                <w:numId w:val="2"/>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 xml:space="preserve">Se reforma el Transitorio Décimo Séptimo de la Resolución Miscelánea Fiscal para 2022, publicada en el </w:t>
            </w:r>
            <w:proofErr w:type="spellStart"/>
            <w:r w:rsidRPr="00506EF0">
              <w:rPr>
                <w:rFonts w:ascii="HelveticaNeueLT Std Lt" w:eastAsia="Times New Roman" w:hAnsi="HelveticaNeueLT Std Lt" w:cs="Arial"/>
                <w:sz w:val="20"/>
                <w:szCs w:val="20"/>
                <w:lang w:eastAsia="es-MX"/>
              </w:rPr>
              <w:t>DOF</w:t>
            </w:r>
            <w:proofErr w:type="spellEnd"/>
            <w:r w:rsidRPr="00506EF0">
              <w:rPr>
                <w:rFonts w:ascii="HelveticaNeueLT Std Lt" w:eastAsia="Times New Roman" w:hAnsi="HelveticaNeueLT Std Lt" w:cs="Arial"/>
                <w:sz w:val="20"/>
                <w:szCs w:val="20"/>
                <w:lang w:eastAsia="es-MX"/>
              </w:rPr>
              <w:t xml:space="preserve"> el 27 de diciembre de 2021. </w:t>
            </w:r>
          </w:p>
          <w:p w14:paraId="0B485D24" w14:textId="77777777" w:rsidR="00506EF0" w:rsidRPr="00506EF0" w:rsidRDefault="00506EF0" w:rsidP="00506EF0">
            <w:pPr>
              <w:pStyle w:val="Prrafodelista"/>
              <w:jc w:val="both"/>
              <w:rPr>
                <w:rFonts w:ascii="HelveticaNeueLT Std Lt" w:eastAsia="Times New Roman" w:hAnsi="HelveticaNeueLT Std Lt" w:cs="Arial"/>
                <w:sz w:val="20"/>
                <w:szCs w:val="20"/>
                <w:lang w:eastAsia="es-MX"/>
              </w:rPr>
            </w:pPr>
          </w:p>
          <w:p w14:paraId="5C192066" w14:textId="77777777" w:rsidR="00506EF0" w:rsidRPr="00506EF0" w:rsidRDefault="00506EF0" w:rsidP="00FB0712">
            <w:pPr>
              <w:pStyle w:val="Prrafodelista"/>
              <w:numPr>
                <w:ilvl w:val="0"/>
                <w:numId w:val="2"/>
              </w:numPr>
              <w:jc w:val="both"/>
              <w:rPr>
                <w:rFonts w:ascii="HelveticaNeueLT Std Lt" w:eastAsia="Times New Roman" w:hAnsi="HelveticaNeueLT Std Lt" w:cs="Arial"/>
                <w:sz w:val="20"/>
                <w:szCs w:val="20"/>
                <w:lang w:eastAsia="es-MX"/>
              </w:rPr>
            </w:pPr>
            <w:r w:rsidRPr="00506EF0">
              <w:rPr>
                <w:rFonts w:ascii="HelveticaNeueLT Std Lt" w:eastAsia="Times New Roman" w:hAnsi="HelveticaNeueLT Std Lt" w:cs="Arial"/>
                <w:sz w:val="20"/>
                <w:szCs w:val="20"/>
                <w:lang w:eastAsia="es-MX"/>
              </w:rPr>
              <w:t xml:space="preserve">La presente Resolución entrará en vigor el día 10 de marzo del 2022 y su contenido surtirá sus efectos en términos de la regla 1.8., tercer párrafo de la </w:t>
            </w:r>
            <w:proofErr w:type="spellStart"/>
            <w:r w:rsidRPr="00506EF0">
              <w:rPr>
                <w:rFonts w:ascii="HelveticaNeueLT Std Lt" w:eastAsia="Times New Roman" w:hAnsi="HelveticaNeueLT Std Lt" w:cs="Arial"/>
                <w:sz w:val="20"/>
                <w:szCs w:val="20"/>
                <w:lang w:eastAsia="es-MX"/>
              </w:rPr>
              <w:t>RMF</w:t>
            </w:r>
            <w:proofErr w:type="spellEnd"/>
            <w:r w:rsidRPr="00506EF0">
              <w:rPr>
                <w:rFonts w:ascii="HelveticaNeueLT Std Lt" w:eastAsia="Times New Roman" w:hAnsi="HelveticaNeueLT Std Lt" w:cs="Arial"/>
                <w:sz w:val="20"/>
                <w:szCs w:val="20"/>
                <w:lang w:eastAsia="es-MX"/>
              </w:rPr>
              <w:t xml:space="preserve"> para 2022.</w:t>
            </w:r>
          </w:p>
          <w:p w14:paraId="2FB9BEB1" w14:textId="77777777" w:rsidR="00506EF0" w:rsidRDefault="00506EF0" w:rsidP="00506EF0">
            <w:pPr>
              <w:pStyle w:val="Texto"/>
              <w:spacing w:line="233" w:lineRule="exact"/>
              <w:rPr>
                <w:color w:val="000000"/>
                <w:szCs w:val="18"/>
              </w:rPr>
            </w:pPr>
          </w:p>
          <w:p w14:paraId="769B23EC" w14:textId="326A3681" w:rsidR="00506EF0" w:rsidRPr="00EE020E" w:rsidRDefault="00506EF0" w:rsidP="00FB0712">
            <w:pPr>
              <w:pStyle w:val="Texto"/>
              <w:numPr>
                <w:ilvl w:val="0"/>
                <w:numId w:val="2"/>
              </w:numPr>
              <w:spacing w:line="233" w:lineRule="exact"/>
              <w:rPr>
                <w:color w:val="000000"/>
                <w:szCs w:val="18"/>
              </w:rPr>
            </w:pPr>
            <w:r w:rsidRPr="00506EF0">
              <w:rPr>
                <w:rFonts w:ascii="HelveticaNeueLT Std Lt" w:hAnsi="HelveticaNeueLT Std Lt"/>
                <w:sz w:val="20"/>
                <w:lang w:val="es-MX" w:eastAsia="es-MX"/>
              </w:rPr>
              <w:t xml:space="preserve">Las reglas de la Resolución de facilidades administrativas para los sectores de contribuyentes que en la misma se señalan para 2021, publicada en el </w:t>
            </w:r>
            <w:proofErr w:type="spellStart"/>
            <w:r w:rsidRPr="00506EF0">
              <w:rPr>
                <w:rFonts w:ascii="HelveticaNeueLT Std Lt" w:hAnsi="HelveticaNeueLT Std Lt"/>
                <w:sz w:val="20"/>
                <w:lang w:val="es-MX" w:eastAsia="es-MX"/>
              </w:rPr>
              <w:t>DOF</w:t>
            </w:r>
            <w:proofErr w:type="spellEnd"/>
            <w:r w:rsidRPr="00506EF0">
              <w:rPr>
                <w:rFonts w:ascii="HelveticaNeueLT Std Lt" w:hAnsi="HelveticaNeueLT Std Lt"/>
                <w:sz w:val="20"/>
                <w:lang w:val="es-MX" w:eastAsia="es-MX"/>
              </w:rPr>
              <w:t xml:space="preserve"> el 30 de marzo de 2021, se podrán aplicar en los meses de enero y febrero de 2022, salvo las facilidades previstas para las personas físicas que, hasta el 31 de diciembre de 2021 tributaron en términos del artículo 74 de la Ley del </w:t>
            </w:r>
            <w:proofErr w:type="spellStart"/>
            <w:r w:rsidRPr="00506EF0">
              <w:rPr>
                <w:rFonts w:ascii="HelveticaNeueLT Std Lt" w:hAnsi="HelveticaNeueLT Std Lt"/>
                <w:sz w:val="20"/>
                <w:lang w:val="es-MX" w:eastAsia="es-MX"/>
              </w:rPr>
              <w:t>ISR</w:t>
            </w:r>
            <w:proofErr w:type="spellEnd"/>
            <w:r w:rsidRPr="00506EF0">
              <w:rPr>
                <w:rFonts w:ascii="HelveticaNeueLT Std Lt" w:hAnsi="HelveticaNeueLT Std Lt"/>
                <w:sz w:val="20"/>
                <w:lang w:val="es-MX" w:eastAsia="es-MX"/>
              </w:rPr>
              <w:t>.</w:t>
            </w:r>
          </w:p>
        </w:tc>
      </w:tr>
      <w:tr w:rsidR="00544315" w:rsidRPr="000D4D13" w14:paraId="111EE910" w14:textId="77777777" w:rsidTr="00544315">
        <w:trPr>
          <w:trHeight w:val="277"/>
        </w:trPr>
        <w:tc>
          <w:tcPr>
            <w:tcW w:w="617" w:type="dxa"/>
            <w:tcBorders>
              <w:top w:val="nil"/>
              <w:bottom w:val="single" w:sz="4" w:space="0" w:color="auto"/>
            </w:tcBorders>
          </w:tcPr>
          <w:p w14:paraId="0A22D0E7" w14:textId="77777777" w:rsidR="00544315" w:rsidRPr="000D4D13" w:rsidRDefault="00544315" w:rsidP="00544315">
            <w:pPr>
              <w:spacing w:line="276" w:lineRule="auto"/>
              <w:jc w:val="center"/>
              <w:rPr>
                <w:rFonts w:ascii="HelveticaNeueLT Std" w:hAnsi="HelveticaNeueLT Std" w:cs="Arial"/>
                <w:b/>
                <w:bCs/>
                <w:sz w:val="20"/>
                <w:szCs w:val="20"/>
              </w:rPr>
            </w:pPr>
          </w:p>
          <w:p w14:paraId="085ED2C7" w14:textId="16FA712F" w:rsidR="00544315" w:rsidRPr="000D4D13" w:rsidRDefault="00544315" w:rsidP="00544315">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25</w:t>
            </w:r>
          </w:p>
        </w:tc>
        <w:tc>
          <w:tcPr>
            <w:tcW w:w="2127" w:type="dxa"/>
            <w:tcBorders>
              <w:top w:val="nil"/>
              <w:bottom w:val="single" w:sz="4" w:space="0" w:color="auto"/>
            </w:tcBorders>
          </w:tcPr>
          <w:p w14:paraId="5C683825" w14:textId="77777777" w:rsidR="00544315" w:rsidRPr="00B80921" w:rsidRDefault="00544315" w:rsidP="0054431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53EBEEE" w14:textId="2B8FF259" w:rsidR="00544315" w:rsidRPr="00B80921" w:rsidRDefault="00544315" w:rsidP="0054431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28</w:t>
            </w:r>
            <w:r>
              <w:rPr>
                <w:rFonts w:ascii="HelveticaNeueLT Std" w:eastAsia="MS Mincho" w:hAnsi="HelveticaNeueLT Std"/>
                <w:bCs/>
                <w:sz w:val="20"/>
                <w:szCs w:val="20"/>
                <w:lang w:eastAsia="en-US"/>
              </w:rPr>
              <w:t>-marzo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732F81FB" w14:textId="77777777" w:rsidR="00544315" w:rsidRPr="00B80921" w:rsidRDefault="00544315" w:rsidP="0054431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09A6C01" w14:textId="77777777" w:rsidR="00544315" w:rsidRPr="00B80921" w:rsidRDefault="00544315" w:rsidP="0054431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38C8DB3C" w14:textId="3F2E128B" w:rsidR="00544315" w:rsidRPr="00B80921" w:rsidRDefault="00544315" w:rsidP="0054431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nil"/>
            </w:tcBorders>
          </w:tcPr>
          <w:p w14:paraId="658A3078" w14:textId="77777777" w:rsidR="00544315" w:rsidRPr="00B80921" w:rsidRDefault="00544315" w:rsidP="0054431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17245F6" w14:textId="77777777" w:rsidR="00544315" w:rsidRPr="00B80921" w:rsidRDefault="00544315" w:rsidP="0054431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17F2A418" w14:textId="77777777" w:rsidR="00544315" w:rsidRPr="00B80921" w:rsidRDefault="00544315" w:rsidP="0054431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C8F5674" w14:textId="528DE943" w:rsidR="00544315" w:rsidRPr="00B80921" w:rsidRDefault="00544315" w:rsidP="0054431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p w14:paraId="293A8BB1" w14:textId="77777777" w:rsidR="00544315" w:rsidRDefault="00544315" w:rsidP="00544315"/>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544315" w14:paraId="7E078D3C" w14:textId="77777777" w:rsidTr="004C51DC">
              <w:trPr>
                <w:tblCellSpacing w:w="0" w:type="dxa"/>
              </w:trPr>
              <w:tc>
                <w:tcPr>
                  <w:tcW w:w="2817"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544315" w14:paraId="6FB18BCE" w14:textId="77777777" w:rsidTr="00544315">
                    <w:trPr>
                      <w:tblCellSpacing w:w="0" w:type="dxa"/>
                    </w:trPr>
                    <w:tc>
                      <w:tcPr>
                        <w:tcW w:w="8832" w:type="dxa"/>
                        <w:shd w:val="clear" w:color="auto" w:fill="FFFFFF"/>
                        <w:vAlign w:val="center"/>
                        <w:hideMark/>
                      </w:tcPr>
                      <w:p w14:paraId="213F02DE" w14:textId="77777777" w:rsidR="00544315" w:rsidRDefault="00544315" w:rsidP="00544315">
                        <w:pPr>
                          <w:jc w:val="both"/>
                          <w:rPr>
                            <w:rFonts w:ascii="Arial" w:hAnsi="Arial" w:cs="Arial"/>
                            <w:color w:val="2F2F2F"/>
                            <w:sz w:val="22"/>
                            <w:szCs w:val="22"/>
                            <w:lang w:eastAsia="es-MX"/>
                          </w:rPr>
                        </w:pPr>
                        <w:hyperlink r:id="rId10" w:history="1">
                          <w:r w:rsidRPr="00544315">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febrero de 2022 y por el ajuste de participaciones del tercer cuatrimestre de 2021.</w:t>
                          </w:r>
                        </w:hyperlink>
                      </w:p>
                    </w:tc>
                    <w:tc>
                      <w:tcPr>
                        <w:tcW w:w="6" w:type="dxa"/>
                        <w:shd w:val="clear" w:color="auto" w:fill="FFFFFF"/>
                        <w:vAlign w:val="center"/>
                        <w:hideMark/>
                      </w:tcPr>
                      <w:p w14:paraId="095DD498" w14:textId="77777777" w:rsidR="00544315" w:rsidRDefault="00544315" w:rsidP="00544315">
                        <w:pPr>
                          <w:rPr>
                            <w:rFonts w:ascii="Arial" w:hAnsi="Arial" w:cs="Arial"/>
                            <w:color w:val="2F2F2F"/>
                            <w:sz w:val="22"/>
                            <w:szCs w:val="22"/>
                          </w:rPr>
                        </w:pPr>
                      </w:p>
                    </w:tc>
                  </w:tr>
                  <w:tr w:rsidR="00544315" w14:paraId="3583786F" w14:textId="77777777" w:rsidTr="00544315">
                    <w:trPr>
                      <w:trHeight w:val="180"/>
                      <w:tblCellSpacing w:w="0" w:type="dxa"/>
                    </w:trPr>
                    <w:tc>
                      <w:tcPr>
                        <w:tcW w:w="8832" w:type="dxa"/>
                        <w:shd w:val="clear" w:color="auto" w:fill="FFFFFF"/>
                        <w:hideMark/>
                      </w:tcPr>
                      <w:p w14:paraId="094D4DB5" w14:textId="2C0C5904" w:rsidR="00544315" w:rsidRDefault="00544315" w:rsidP="00544315">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63E9F3E8" wp14:editId="3CB5F888">
                              <wp:extent cx="94615" cy="112395"/>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112395"/>
                                      </a:xfrm>
                                      <a:prstGeom prst="rect">
                                        <a:avLst/>
                                      </a:prstGeom>
                                      <a:noFill/>
                                      <a:ln>
                                        <a:noFill/>
                                      </a:ln>
                                    </pic:spPr>
                                  </pic:pic>
                                </a:graphicData>
                              </a:graphic>
                            </wp:inline>
                          </w:drawing>
                        </w:r>
                      </w:p>
                    </w:tc>
                    <w:tc>
                      <w:tcPr>
                        <w:tcW w:w="6" w:type="dxa"/>
                        <w:shd w:val="clear" w:color="auto" w:fill="FFFFFF"/>
                        <w:vAlign w:val="center"/>
                        <w:hideMark/>
                      </w:tcPr>
                      <w:p w14:paraId="75AAD392" w14:textId="77777777" w:rsidR="00544315" w:rsidRDefault="00544315" w:rsidP="00544315">
                        <w:pPr>
                          <w:rPr>
                            <w:sz w:val="20"/>
                            <w:szCs w:val="20"/>
                          </w:rPr>
                        </w:pPr>
                      </w:p>
                    </w:tc>
                  </w:tr>
                </w:tbl>
                <w:p w14:paraId="460DC716" w14:textId="07F1D7A1" w:rsidR="00544315" w:rsidRDefault="00544315" w:rsidP="00544315">
                  <w:pPr>
                    <w:jc w:val="both"/>
                    <w:rPr>
                      <w:rFonts w:ascii="Arial" w:hAnsi="Arial" w:cs="Arial"/>
                      <w:color w:val="2F2F2F"/>
                      <w:sz w:val="22"/>
                      <w:szCs w:val="22"/>
                      <w:lang w:eastAsia="es-MX"/>
                    </w:rPr>
                  </w:pPr>
                </w:p>
              </w:tc>
              <w:tc>
                <w:tcPr>
                  <w:tcW w:w="20" w:type="dxa"/>
                  <w:shd w:val="clear" w:color="auto" w:fill="FFFFFF"/>
                  <w:vAlign w:val="center"/>
                  <w:hideMark/>
                </w:tcPr>
                <w:p w14:paraId="199B8344" w14:textId="77777777" w:rsidR="00544315" w:rsidRDefault="00544315" w:rsidP="00544315">
                  <w:pPr>
                    <w:rPr>
                      <w:rFonts w:ascii="Arial" w:hAnsi="Arial" w:cs="Arial"/>
                      <w:color w:val="2F2F2F"/>
                      <w:sz w:val="22"/>
                      <w:szCs w:val="22"/>
                    </w:rPr>
                  </w:pPr>
                </w:p>
              </w:tc>
            </w:tr>
            <w:tr w:rsidR="00544315" w14:paraId="6E52F43C" w14:textId="77777777" w:rsidTr="004C51DC">
              <w:trPr>
                <w:trHeight w:val="180"/>
                <w:tblCellSpacing w:w="0" w:type="dxa"/>
              </w:trPr>
              <w:tc>
                <w:tcPr>
                  <w:tcW w:w="2817" w:type="dxa"/>
                  <w:shd w:val="clear" w:color="auto" w:fill="FFFFFF"/>
                  <w:hideMark/>
                </w:tcPr>
                <w:p w14:paraId="02C22638" w14:textId="77777777" w:rsidR="00544315" w:rsidRDefault="00544315" w:rsidP="00544315">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7F70A225" wp14:editId="1F096B7E">
                        <wp:extent cx="95250" cy="11684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6840"/>
                                </a:xfrm>
                                <a:prstGeom prst="rect">
                                  <a:avLst/>
                                </a:prstGeom>
                                <a:noFill/>
                                <a:ln>
                                  <a:noFill/>
                                </a:ln>
                              </pic:spPr>
                            </pic:pic>
                          </a:graphicData>
                        </a:graphic>
                      </wp:inline>
                    </w:drawing>
                  </w:r>
                </w:p>
              </w:tc>
              <w:tc>
                <w:tcPr>
                  <w:tcW w:w="20" w:type="dxa"/>
                  <w:shd w:val="clear" w:color="auto" w:fill="FFFFFF"/>
                  <w:vAlign w:val="center"/>
                  <w:hideMark/>
                </w:tcPr>
                <w:p w14:paraId="6D40E9B7" w14:textId="77777777" w:rsidR="00544315" w:rsidRDefault="00544315" w:rsidP="00544315">
                  <w:pPr>
                    <w:rPr>
                      <w:sz w:val="20"/>
                      <w:szCs w:val="20"/>
                    </w:rPr>
                  </w:pPr>
                </w:p>
              </w:tc>
            </w:tr>
          </w:tbl>
          <w:p w14:paraId="71F468D1" w14:textId="77777777" w:rsidR="00544315" w:rsidRDefault="00544315" w:rsidP="00544315"/>
        </w:tc>
        <w:tc>
          <w:tcPr>
            <w:tcW w:w="5812" w:type="dxa"/>
            <w:tcBorders>
              <w:top w:val="nil"/>
            </w:tcBorders>
          </w:tcPr>
          <w:p w14:paraId="39B5D52D" w14:textId="77777777" w:rsidR="00544315" w:rsidRDefault="00544315" w:rsidP="00544315">
            <w:pPr>
              <w:jc w:val="both"/>
              <w:rPr>
                <w:rFonts w:ascii="HelveticaNeueLT Std Lt" w:eastAsia="Times New Roman" w:hAnsi="HelveticaNeueLT Std Lt" w:cs="Arial"/>
                <w:sz w:val="20"/>
                <w:szCs w:val="20"/>
                <w:lang w:eastAsia="es-MX"/>
              </w:rPr>
            </w:pPr>
          </w:p>
          <w:p w14:paraId="3B30FE61" w14:textId="77777777" w:rsidR="00544315" w:rsidRDefault="00544315" w:rsidP="00544315">
            <w:p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 xml:space="preserve">A través del presente acuerdo se da a conocer: </w:t>
            </w:r>
          </w:p>
          <w:p w14:paraId="144E4B01" w14:textId="77777777" w:rsidR="00544315" w:rsidRDefault="00544315" w:rsidP="00544315">
            <w:pPr>
              <w:jc w:val="both"/>
              <w:rPr>
                <w:rFonts w:ascii="HelveticaNeueLT Std Lt" w:eastAsia="Times New Roman" w:hAnsi="HelveticaNeueLT Std Lt" w:cs="Arial"/>
                <w:sz w:val="20"/>
                <w:szCs w:val="20"/>
                <w:lang w:eastAsia="es-MX"/>
              </w:rPr>
            </w:pPr>
          </w:p>
          <w:p w14:paraId="406B3DA8" w14:textId="5D25B225" w:rsidR="00544315" w:rsidRDefault="00544315" w:rsidP="00544315">
            <w:pPr>
              <w:pStyle w:val="Prrafodelista"/>
              <w:numPr>
                <w:ilvl w:val="0"/>
                <w:numId w:val="3"/>
              </w:numPr>
              <w:jc w:val="both"/>
              <w:rPr>
                <w:rFonts w:ascii="HelveticaNeueLT Std Lt" w:eastAsia="Times New Roman" w:hAnsi="HelveticaNeueLT Std Lt" w:cs="Arial"/>
                <w:sz w:val="20"/>
                <w:szCs w:val="20"/>
                <w:lang w:eastAsia="es-MX"/>
              </w:rPr>
            </w:pPr>
            <w:r w:rsidRPr="00544315">
              <w:rPr>
                <w:rFonts w:ascii="HelveticaNeueLT Std Lt" w:eastAsia="Times New Roman" w:hAnsi="HelveticaNeueLT Std Lt" w:cs="Arial"/>
                <w:sz w:val="20"/>
                <w:szCs w:val="20"/>
                <w:lang w:eastAsia="es-MX"/>
              </w:rPr>
              <w:t>Las cifras correspondientes al mes de febrero de 2022 no incluyen deducciones derivadas de compromisos financieros contraídos por las entidades federativas.</w:t>
            </w:r>
          </w:p>
          <w:p w14:paraId="0A300CA9" w14:textId="77777777" w:rsidR="00544315" w:rsidRDefault="00544315" w:rsidP="00544315">
            <w:pPr>
              <w:pStyle w:val="Prrafodelista"/>
              <w:jc w:val="both"/>
              <w:rPr>
                <w:rFonts w:ascii="HelveticaNeueLT Std Lt" w:eastAsia="Times New Roman" w:hAnsi="HelveticaNeueLT Std Lt" w:cs="Arial"/>
                <w:sz w:val="20"/>
                <w:szCs w:val="20"/>
                <w:lang w:eastAsia="es-MX"/>
              </w:rPr>
            </w:pPr>
          </w:p>
          <w:p w14:paraId="35C98807" w14:textId="77777777" w:rsidR="00544315" w:rsidRDefault="00544315" w:rsidP="00544315">
            <w:pPr>
              <w:pStyle w:val="Prrafodelista"/>
              <w:numPr>
                <w:ilvl w:val="0"/>
                <w:numId w:val="3"/>
              </w:numPr>
              <w:jc w:val="both"/>
              <w:rPr>
                <w:rFonts w:ascii="HelveticaNeueLT Std Lt" w:eastAsia="Times New Roman" w:hAnsi="HelveticaNeueLT Std Lt" w:cs="Arial"/>
                <w:sz w:val="20"/>
                <w:szCs w:val="20"/>
                <w:lang w:eastAsia="es-MX"/>
              </w:rPr>
            </w:pPr>
            <w:r w:rsidRPr="00544315">
              <w:rPr>
                <w:rFonts w:ascii="HelveticaNeueLT Std Lt" w:eastAsia="Times New Roman" w:hAnsi="HelveticaNeueLT Std Lt" w:cs="Arial"/>
                <w:sz w:val="20"/>
                <w:szCs w:val="20"/>
                <w:lang w:eastAsia="es-MX"/>
              </w:rPr>
              <w:t>L</w:t>
            </w:r>
            <w:r w:rsidRPr="00544315">
              <w:rPr>
                <w:rFonts w:ascii="HelveticaNeueLT Std Lt" w:eastAsia="Times New Roman" w:hAnsi="HelveticaNeueLT Std Lt" w:cs="Arial"/>
                <w:sz w:val="20"/>
                <w:szCs w:val="20"/>
                <w:lang w:eastAsia="es-MX"/>
              </w:rPr>
              <w:t>a recaudación federal participable, el cálculo de las participaciones en ingresos federales y la determinación de las diferencias por el tercer ajuste cuatrimestral de 2021 por entidades federativas y, en su caso, por municipios.</w:t>
            </w:r>
          </w:p>
          <w:p w14:paraId="0D280E71" w14:textId="77777777" w:rsidR="00544315" w:rsidRPr="00544315" w:rsidRDefault="00544315" w:rsidP="00544315">
            <w:pPr>
              <w:pStyle w:val="Prrafodelista"/>
              <w:rPr>
                <w:rFonts w:ascii="HelveticaNeueLT Std Lt" w:eastAsia="Times New Roman" w:hAnsi="HelveticaNeueLT Std Lt" w:cs="Arial"/>
                <w:sz w:val="20"/>
                <w:szCs w:val="20"/>
                <w:lang w:eastAsia="es-MX"/>
              </w:rPr>
            </w:pPr>
          </w:p>
          <w:p w14:paraId="48662179" w14:textId="173948E6" w:rsidR="00544315" w:rsidRPr="00544315" w:rsidRDefault="00544315" w:rsidP="00544315">
            <w:pPr>
              <w:pStyle w:val="Prrafodelista"/>
              <w:numPr>
                <w:ilvl w:val="0"/>
                <w:numId w:val="3"/>
              </w:numPr>
              <w:jc w:val="both"/>
              <w:rPr>
                <w:rFonts w:ascii="HelveticaNeueLT Std Lt" w:eastAsia="Times New Roman" w:hAnsi="HelveticaNeueLT Std Lt" w:cs="Arial"/>
                <w:sz w:val="20"/>
                <w:szCs w:val="20"/>
                <w:lang w:eastAsia="es-MX"/>
              </w:rPr>
            </w:pPr>
            <w:r w:rsidRPr="00544315">
              <w:rPr>
                <w:rFonts w:ascii="HelveticaNeueLT Std Lt" w:eastAsia="Times New Roman" w:hAnsi="HelveticaNeueLT Std Lt" w:cs="Arial"/>
                <w:sz w:val="20"/>
                <w:szCs w:val="20"/>
                <w:lang w:eastAsia="es-MX"/>
              </w:rPr>
              <w:t>Las participaciones de los fondos y otros conceptos participables, señalados en los numerales primero y segundo de este Acuerdo, así como los montos que finalmente reciba cada entidad federativa, pueden verse modificados por la variación de los ingresos efectivamente captados, por el cambio de los coeficientes y, en su caso, por las diferencias derivadas de los ajustes a los pagos</w:t>
            </w:r>
            <w:r>
              <w:rPr>
                <w:rFonts w:ascii="HelveticaNeueLT Std Lt" w:eastAsia="Times New Roman" w:hAnsi="HelveticaNeueLT Std Lt" w:cs="Arial"/>
                <w:sz w:val="20"/>
                <w:szCs w:val="20"/>
                <w:lang w:eastAsia="es-MX"/>
              </w:rPr>
              <w:t>.</w:t>
            </w:r>
            <w:bookmarkStart w:id="0" w:name="_GoBack"/>
            <w:bookmarkEnd w:id="0"/>
            <w:r w:rsidRPr="00544315">
              <w:rPr>
                <w:rFonts w:ascii="HelveticaNeueLT Std Lt" w:eastAsia="Times New Roman" w:hAnsi="HelveticaNeueLT Std Lt" w:cs="Arial"/>
                <w:sz w:val="20"/>
                <w:szCs w:val="20"/>
                <w:lang w:eastAsia="es-MX"/>
              </w:rPr>
              <w:t xml:space="preserve"> </w:t>
            </w:r>
            <w:r w:rsidRPr="00544315">
              <w:rPr>
                <w:rFonts w:ascii="HelveticaNeueLT Std Lt" w:eastAsia="Times New Roman" w:hAnsi="HelveticaNeueLT Std Lt" w:cs="Arial"/>
                <w:sz w:val="20"/>
                <w:szCs w:val="20"/>
                <w:lang w:eastAsia="es-MX"/>
              </w:rPr>
              <w:lastRenderedPageBreak/>
              <w:t>provisionales y de los ajustes definitivos correspondientes a los ejercicios fiscales de 2021 y 2022.</w:t>
            </w:r>
          </w:p>
        </w:tc>
      </w:tr>
    </w:tbl>
    <w:p w14:paraId="2C3195A2" w14:textId="20DAADD6"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1"/>
      <w:footerReference w:type="default" r:id="rId12"/>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2333" w14:textId="77777777" w:rsidR="009C053E" w:rsidRDefault="009C053E" w:rsidP="00FA6D75">
      <w:r>
        <w:separator/>
      </w:r>
    </w:p>
  </w:endnote>
  <w:endnote w:type="continuationSeparator" w:id="0">
    <w:p w14:paraId="18274AF7" w14:textId="77777777" w:rsidR="009C053E" w:rsidRDefault="009C053E"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0EE02DB4"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544315">
              <w:rPr>
                <w:rFonts w:ascii="Arial" w:hAnsi="Arial" w:cs="Arial"/>
                <w:b/>
                <w:bCs/>
                <w:noProof/>
                <w:sz w:val="20"/>
                <w:szCs w:val="20"/>
              </w:rPr>
              <w:t>4</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544315">
              <w:rPr>
                <w:rFonts w:ascii="Arial" w:hAnsi="Arial" w:cs="Arial"/>
                <w:b/>
                <w:bCs/>
                <w:noProof/>
                <w:sz w:val="20"/>
                <w:szCs w:val="20"/>
              </w:rPr>
              <w:t>4</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B2978" w14:textId="77777777" w:rsidR="009C053E" w:rsidRDefault="009C053E" w:rsidP="00FA6D75">
      <w:r>
        <w:separator/>
      </w:r>
    </w:p>
  </w:footnote>
  <w:footnote w:type="continuationSeparator" w:id="0">
    <w:p w14:paraId="433455E3" w14:textId="77777777" w:rsidR="009C053E" w:rsidRDefault="009C053E"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23C6"/>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6B14"/>
    <w:rsid w:val="00EF7B92"/>
    <w:rsid w:val="00EF7C1B"/>
    <w:rsid w:val="00F00E6D"/>
    <w:rsid w:val="00F012F7"/>
    <w:rsid w:val="00F02734"/>
    <w:rsid w:val="00F02F14"/>
    <w:rsid w:val="00F04A0B"/>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45025&amp;fecha=09/03/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f.gob.mx/nota_detalle.php?codigo=5646977&amp;fecha=28/03/202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BFCE4-1B53-42DB-B57D-21E6BCC6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4</Pages>
  <Words>838</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66</cp:revision>
  <cp:lastPrinted>2021-01-29T22:36:00Z</cp:lastPrinted>
  <dcterms:created xsi:type="dcterms:W3CDTF">2019-01-03T20:20:00Z</dcterms:created>
  <dcterms:modified xsi:type="dcterms:W3CDTF">2022-03-29T15:56:00Z</dcterms:modified>
</cp:coreProperties>
</file>